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CFB88" w14:textId="77777777" w:rsidR="009B59C9" w:rsidRPr="00126EA9" w:rsidRDefault="009B59C9" w:rsidP="007655D5">
      <w:pPr>
        <w:pStyle w:val="Heading2"/>
        <w:jc w:val="both"/>
      </w:pPr>
      <w:bookmarkStart w:id="0" w:name="DelTaxLiab"/>
      <w:bookmarkEnd w:id="0"/>
      <w:r>
        <w:t xml:space="preserve">ЗАЯВА ОРГАНІЗАЦІЇ ЩОДО ВІДПОВІДАЛЬНОСТІ ЗА НЕСПЛАТУ ПОДАТКІВ У ВСТАНОВЛЕНИЙ ТЕРМІН ТА ВІДСУТНІСТЬ СУДИМОСТІ ЗА ТЯЖКІ КРИМІНАЛЬНІ ЗЛОЧИНИ (серпень 2014 р.) </w:t>
      </w:r>
    </w:p>
    <w:p w14:paraId="173A7111" w14:textId="77777777" w:rsidR="009B59C9" w:rsidRPr="00126EA9" w:rsidRDefault="009B59C9" w:rsidP="007655D5">
      <w:pPr>
        <w:suppressAutoHyphens w:val="0"/>
        <w:autoSpaceDE w:val="0"/>
        <w:autoSpaceDN w:val="0"/>
        <w:adjustRightInd w:val="0"/>
        <w:jc w:val="both"/>
        <w:rPr>
          <w:rFonts w:ascii="Arial" w:hAnsi="Arial" w:cs="Arial"/>
          <w:color w:val="000000"/>
          <w:sz w:val="22"/>
          <w:szCs w:val="22"/>
        </w:rPr>
      </w:pPr>
    </w:p>
    <w:p w14:paraId="381058CA" w14:textId="77777777" w:rsidR="009B59C9" w:rsidRPr="00126EA9" w:rsidRDefault="009B59C9" w:rsidP="007655D5">
      <w:pPr>
        <w:suppressAutoHyphens w:val="0"/>
        <w:autoSpaceDE w:val="0"/>
        <w:autoSpaceDN w:val="0"/>
        <w:adjustRightInd w:val="0"/>
        <w:jc w:val="both"/>
        <w:rPr>
          <w:rFonts w:ascii="Arial" w:hAnsi="Arial" w:cs="Arial"/>
          <w:color w:val="000000"/>
          <w:sz w:val="22"/>
          <w:szCs w:val="22"/>
        </w:rPr>
      </w:pPr>
      <w:r>
        <w:rPr>
          <w:rFonts w:ascii="Arial" w:hAnsi="Arial"/>
          <w:color w:val="000000"/>
          <w:sz w:val="22"/>
        </w:rPr>
        <w:t xml:space="preserve">(a) Згідно з положеннями Розділу 7073 Закону про загальні асигнування 2014 р. (Публічний закон 113-76), жодні виділені за цим Законом кошти не можна використовувати для укладення договору допомоги з будь-якою організацією, яка: </w:t>
      </w:r>
    </w:p>
    <w:p w14:paraId="662B1F63" w14:textId="77777777" w:rsidR="009B59C9" w:rsidRPr="00126EA9" w:rsidRDefault="009B59C9" w:rsidP="007655D5">
      <w:pPr>
        <w:suppressAutoHyphens w:val="0"/>
        <w:autoSpaceDE w:val="0"/>
        <w:autoSpaceDN w:val="0"/>
        <w:adjustRightInd w:val="0"/>
        <w:jc w:val="both"/>
        <w:rPr>
          <w:rFonts w:ascii="Arial" w:hAnsi="Arial" w:cs="Arial"/>
          <w:color w:val="000000"/>
          <w:sz w:val="22"/>
          <w:szCs w:val="22"/>
        </w:rPr>
      </w:pPr>
    </w:p>
    <w:p w14:paraId="1F600949" w14:textId="77777777" w:rsidR="009B59C9" w:rsidRPr="00126EA9" w:rsidRDefault="009B59C9" w:rsidP="007655D5">
      <w:pPr>
        <w:suppressAutoHyphens w:val="0"/>
        <w:autoSpaceDE w:val="0"/>
        <w:autoSpaceDN w:val="0"/>
        <w:adjustRightInd w:val="0"/>
        <w:ind w:left="720"/>
        <w:jc w:val="both"/>
        <w:rPr>
          <w:rFonts w:ascii="Arial" w:hAnsi="Arial" w:cs="Arial"/>
          <w:color w:val="000000"/>
          <w:sz w:val="22"/>
          <w:szCs w:val="22"/>
        </w:rPr>
      </w:pPr>
      <w:r>
        <w:rPr>
          <w:rFonts w:ascii="Arial" w:hAnsi="Arial"/>
          <w:color w:val="000000"/>
          <w:sz w:val="22"/>
        </w:rPr>
        <w:t xml:space="preserve">(1) Була “визнана винною у тяжкому кримінальному злочині за будь-яким федеральним законом протягом попередніх 24 місяців, при чому установа, що надає грант, володіє достовірною інформацією про такий вирок, крім випадків, коли ця установа, згідно зі своїми процедурами, вважає, що захист інтересів Уряду не вимагає вжиття подальших заходів”; або </w:t>
      </w:r>
    </w:p>
    <w:p w14:paraId="4250F3B6" w14:textId="77777777" w:rsidR="009B59C9" w:rsidRPr="00126EA9" w:rsidRDefault="009B59C9" w:rsidP="007655D5">
      <w:pPr>
        <w:suppressAutoHyphens w:val="0"/>
        <w:autoSpaceDE w:val="0"/>
        <w:autoSpaceDN w:val="0"/>
        <w:adjustRightInd w:val="0"/>
        <w:ind w:left="720"/>
        <w:jc w:val="both"/>
        <w:rPr>
          <w:rFonts w:ascii="Arial" w:hAnsi="Arial" w:cs="Arial"/>
          <w:color w:val="000000"/>
          <w:sz w:val="22"/>
          <w:szCs w:val="22"/>
        </w:rPr>
      </w:pPr>
    </w:p>
    <w:p w14:paraId="36A25DD1" w14:textId="77777777" w:rsidR="009B59C9" w:rsidRPr="00126EA9" w:rsidRDefault="009B59C9" w:rsidP="007655D5">
      <w:pPr>
        <w:suppressAutoHyphens w:val="0"/>
        <w:autoSpaceDE w:val="0"/>
        <w:autoSpaceDN w:val="0"/>
        <w:adjustRightInd w:val="0"/>
        <w:ind w:left="720"/>
        <w:jc w:val="both"/>
        <w:rPr>
          <w:rFonts w:ascii="Arial" w:hAnsi="Arial" w:cs="Arial"/>
          <w:color w:val="000000"/>
          <w:sz w:val="22"/>
          <w:szCs w:val="22"/>
        </w:rPr>
      </w:pPr>
      <w:r>
        <w:rPr>
          <w:rFonts w:ascii="Arial" w:hAnsi="Arial"/>
          <w:color w:val="000000"/>
          <w:sz w:val="22"/>
        </w:rPr>
        <w:t xml:space="preserve">(2) Має будь-яку «заборгованість за сплатою нарахованих федеральних податків, щодо якої вичерпались або сплили терміни будь-яких судових або адміністративних засобів захисту прав, і яка не сплачується вчасно відповідно до угоди з органом, відповідальним за стягнення податкових зобов’язань, коли установа, що надає грант, володіє достовірною інформацією про несплачене податкове зобов’язання, крім випадків, коли федеральна установа установа, згідно зі своїми процедурами, вважає, що захист інтересів Уряду не вимагає вжиття подальших заходів”. </w:t>
      </w:r>
    </w:p>
    <w:p w14:paraId="0DF5E675" w14:textId="77777777" w:rsidR="009B59C9" w:rsidRPr="00126EA9" w:rsidRDefault="009B59C9" w:rsidP="007655D5">
      <w:pPr>
        <w:suppressAutoHyphens w:val="0"/>
        <w:autoSpaceDE w:val="0"/>
        <w:autoSpaceDN w:val="0"/>
        <w:adjustRightInd w:val="0"/>
        <w:jc w:val="both"/>
        <w:rPr>
          <w:rFonts w:ascii="Arial" w:hAnsi="Arial" w:cs="Arial"/>
          <w:color w:val="000000"/>
          <w:sz w:val="22"/>
          <w:szCs w:val="22"/>
        </w:rPr>
      </w:pPr>
    </w:p>
    <w:p w14:paraId="2D96CD94" w14:textId="77777777" w:rsidR="009B59C9" w:rsidRPr="00126EA9" w:rsidRDefault="009B59C9" w:rsidP="007655D5">
      <w:pPr>
        <w:suppressAutoHyphens w:val="0"/>
        <w:autoSpaceDE w:val="0"/>
        <w:autoSpaceDN w:val="0"/>
        <w:adjustRightInd w:val="0"/>
        <w:jc w:val="both"/>
        <w:rPr>
          <w:rFonts w:ascii="Arial" w:hAnsi="Arial" w:cs="Arial"/>
          <w:color w:val="000000"/>
          <w:sz w:val="22"/>
          <w:szCs w:val="22"/>
        </w:rPr>
      </w:pPr>
      <w:r>
        <w:rPr>
          <w:rFonts w:ascii="Arial" w:hAnsi="Arial"/>
          <w:color w:val="000000"/>
          <w:sz w:val="22"/>
        </w:rPr>
        <w:t xml:space="preserve">Для цілей Розділу 7073 політика USAID полягає в тому, щоб не надавати грантів організаціям, які підпадають під визначення пункту (1) або (2) вище, крім випадків, коли Підрозділ відповідності нормам і процедурам Офісу управління з закупівель і допомоги (M/OAA) прийняв рішення про те, що захист інтересів Уряду не потребує відсторонення або недопущення такої організації. </w:t>
      </w:r>
    </w:p>
    <w:p w14:paraId="0D596DA7" w14:textId="77777777" w:rsidR="009B59C9" w:rsidRPr="00126EA9" w:rsidRDefault="009B59C9" w:rsidP="007655D5">
      <w:pPr>
        <w:suppressAutoHyphens w:val="0"/>
        <w:autoSpaceDE w:val="0"/>
        <w:autoSpaceDN w:val="0"/>
        <w:adjustRightInd w:val="0"/>
        <w:jc w:val="both"/>
        <w:rPr>
          <w:rFonts w:ascii="Arial" w:hAnsi="Arial" w:cs="Arial"/>
          <w:b/>
          <w:bCs/>
          <w:color w:val="000000"/>
          <w:sz w:val="22"/>
          <w:szCs w:val="22"/>
        </w:rPr>
      </w:pPr>
    </w:p>
    <w:p w14:paraId="3AD04CB3" w14:textId="77777777" w:rsidR="009B59C9" w:rsidRPr="00126EA9" w:rsidRDefault="009B59C9" w:rsidP="007655D5">
      <w:pPr>
        <w:suppressAutoHyphens w:val="0"/>
        <w:autoSpaceDE w:val="0"/>
        <w:autoSpaceDN w:val="0"/>
        <w:adjustRightInd w:val="0"/>
        <w:jc w:val="both"/>
        <w:rPr>
          <w:rFonts w:ascii="Arial" w:hAnsi="Arial" w:cs="Arial"/>
          <w:color w:val="000000"/>
          <w:sz w:val="22"/>
          <w:szCs w:val="22"/>
        </w:rPr>
      </w:pPr>
      <w:r>
        <w:rPr>
          <w:rFonts w:ascii="Arial" w:hAnsi="Arial"/>
          <w:b/>
          <w:color w:val="000000"/>
          <w:sz w:val="22"/>
        </w:rPr>
        <w:t>(B) Заява організації-заявника</w:t>
      </w:r>
      <w:r>
        <w:rPr>
          <w:rFonts w:ascii="Arial" w:hAnsi="Arial"/>
          <w:color w:val="000000"/>
          <w:sz w:val="22"/>
        </w:rPr>
        <w:t xml:space="preserve">: </w:t>
      </w:r>
    </w:p>
    <w:p w14:paraId="641B4F3C" w14:textId="77777777" w:rsidR="009B59C9" w:rsidRPr="00126EA9" w:rsidRDefault="009B59C9" w:rsidP="007655D5">
      <w:pPr>
        <w:suppressAutoHyphens w:val="0"/>
        <w:autoSpaceDE w:val="0"/>
        <w:autoSpaceDN w:val="0"/>
        <w:adjustRightInd w:val="0"/>
        <w:jc w:val="both"/>
        <w:rPr>
          <w:rFonts w:ascii="Arial" w:hAnsi="Arial" w:cs="Arial"/>
          <w:color w:val="000000"/>
          <w:sz w:val="22"/>
          <w:szCs w:val="22"/>
        </w:rPr>
      </w:pPr>
    </w:p>
    <w:p w14:paraId="06BB9355" w14:textId="77777777" w:rsidR="009B59C9" w:rsidRPr="00126EA9" w:rsidRDefault="009B59C9" w:rsidP="007655D5">
      <w:pPr>
        <w:suppressAutoHyphens w:val="0"/>
        <w:autoSpaceDE w:val="0"/>
        <w:autoSpaceDN w:val="0"/>
        <w:adjustRightInd w:val="0"/>
        <w:jc w:val="both"/>
        <w:rPr>
          <w:rFonts w:ascii="Arial" w:hAnsi="Arial" w:cs="Arial"/>
          <w:color w:val="000000"/>
          <w:sz w:val="22"/>
          <w:szCs w:val="22"/>
        </w:rPr>
      </w:pPr>
      <w:r>
        <w:rPr>
          <w:rFonts w:ascii="Arial" w:hAnsi="Arial"/>
          <w:color w:val="000000"/>
          <w:sz w:val="22"/>
        </w:rPr>
        <w:t xml:space="preserve">(1) Заявник запевняє, що він є [ ] / не є [ ] організацією, яку було визнано винною у тяжкому кримінальному злочині за федеральним законом протягом попередніх 24 місяців. </w:t>
      </w:r>
    </w:p>
    <w:p w14:paraId="650FD1E2" w14:textId="77777777" w:rsidR="009B59C9" w:rsidRPr="00126EA9" w:rsidRDefault="009B59C9" w:rsidP="007655D5">
      <w:pPr>
        <w:suppressAutoHyphens w:val="0"/>
        <w:autoSpaceDE w:val="0"/>
        <w:autoSpaceDN w:val="0"/>
        <w:adjustRightInd w:val="0"/>
        <w:jc w:val="both"/>
        <w:rPr>
          <w:rFonts w:ascii="Arial" w:hAnsi="Arial" w:cs="Arial"/>
          <w:color w:val="000000"/>
          <w:sz w:val="22"/>
          <w:szCs w:val="22"/>
        </w:rPr>
      </w:pPr>
    </w:p>
    <w:p w14:paraId="2AF3B92C" w14:textId="77777777" w:rsidR="009B59C9" w:rsidRPr="00126EA9" w:rsidRDefault="009B59C9" w:rsidP="007655D5">
      <w:pPr>
        <w:suppressAutoHyphens w:val="0"/>
        <w:autoSpaceDE w:val="0"/>
        <w:autoSpaceDN w:val="0"/>
        <w:adjustRightInd w:val="0"/>
        <w:jc w:val="both"/>
        <w:rPr>
          <w:rFonts w:ascii="Arial" w:hAnsi="Arial" w:cs="Arial"/>
          <w:color w:val="000000"/>
          <w:sz w:val="22"/>
          <w:szCs w:val="22"/>
        </w:rPr>
      </w:pPr>
      <w:r>
        <w:rPr>
          <w:rFonts w:ascii="Arial" w:hAnsi="Arial"/>
          <w:color w:val="000000"/>
          <w:sz w:val="22"/>
        </w:rPr>
        <w:t xml:space="preserve">(2) Заявник запевняє, що він є [ ] / не є [ ] організацією, яка має заборгованість за сплатою нарахованих федеральних податків, щодо якої вичерпались або сплили терміни будь-яких судових або адміністративних засобів захисту прав, і яка не сплачується вчасно відповідно до угоди з органом, відповідальним за стягнення податкових зобов’язань. </w:t>
      </w:r>
    </w:p>
    <w:p w14:paraId="6313A04E" w14:textId="77777777" w:rsidR="009B59C9" w:rsidRPr="00126EA9" w:rsidRDefault="009B59C9" w:rsidP="007655D5">
      <w:pPr>
        <w:jc w:val="both"/>
        <w:rPr>
          <w:rFonts w:ascii="Arial" w:hAnsi="Arial" w:cs="Arial"/>
          <w:color w:val="000000"/>
          <w:sz w:val="22"/>
          <w:szCs w:val="22"/>
        </w:rPr>
      </w:pPr>
    </w:p>
    <w:p w14:paraId="02F9A994" w14:textId="77777777" w:rsidR="009B59C9" w:rsidRPr="00126EA9" w:rsidRDefault="009B59C9" w:rsidP="007655D5">
      <w:pPr>
        <w:jc w:val="both"/>
        <w:rPr>
          <w:rFonts w:ascii="Arial" w:hAnsi="Arial" w:cs="Arial"/>
          <w:sz w:val="22"/>
          <w:szCs w:val="22"/>
        </w:rPr>
      </w:pPr>
    </w:p>
    <w:p w14:paraId="3EEB530E" w14:textId="77777777" w:rsidR="009B59C9" w:rsidRPr="00126EA9" w:rsidRDefault="009B59C9" w:rsidP="007655D5">
      <w:pPr>
        <w:jc w:val="both"/>
        <w:rPr>
          <w:rFonts w:ascii="Arial" w:hAnsi="Arial" w:cs="Arial"/>
          <w:sz w:val="22"/>
          <w:szCs w:val="22"/>
        </w:rPr>
      </w:pPr>
      <w:r>
        <w:tab/>
      </w:r>
      <w:r>
        <w:tab/>
      </w:r>
      <w:r>
        <w:tab/>
      </w:r>
      <w:r>
        <w:tab/>
      </w:r>
      <w:r>
        <w:tab/>
      </w:r>
      <w:r>
        <w:tab/>
      </w:r>
      <w:r>
        <w:tab/>
      </w:r>
      <w:r>
        <w:rPr>
          <w:rFonts w:ascii="Arial" w:hAnsi="Arial"/>
          <w:sz w:val="22"/>
        </w:rPr>
        <w:t>_________________________</w:t>
      </w:r>
    </w:p>
    <w:p w14:paraId="64DE1415" w14:textId="48A3E4EF" w:rsidR="009B59C9" w:rsidRPr="00126EA9" w:rsidRDefault="007655D5" w:rsidP="007655D5">
      <w:pPr>
        <w:jc w:val="both"/>
        <w:rPr>
          <w:rFonts w:ascii="Arial" w:hAnsi="Arial" w:cs="Arial"/>
          <w:sz w:val="22"/>
          <w:szCs w:val="22"/>
        </w:rPr>
      </w:pPr>
      <w:r>
        <w:tab/>
      </w:r>
      <w:r>
        <w:tab/>
      </w:r>
      <w:r>
        <w:tab/>
      </w:r>
      <w:r>
        <w:tab/>
      </w:r>
      <w:r>
        <w:tab/>
      </w:r>
      <w:r>
        <w:tab/>
      </w:r>
      <w:r>
        <w:tab/>
      </w:r>
      <w:r w:rsidR="009B59C9">
        <w:rPr>
          <w:rFonts w:ascii="Arial" w:hAnsi="Arial"/>
          <w:sz w:val="22"/>
        </w:rPr>
        <w:t>Підпис</w:t>
      </w:r>
    </w:p>
    <w:p w14:paraId="36B54BDC" w14:textId="77777777" w:rsidR="009B59C9" w:rsidRPr="00126EA9" w:rsidRDefault="009B59C9" w:rsidP="007655D5">
      <w:pPr>
        <w:jc w:val="both"/>
        <w:rPr>
          <w:rFonts w:ascii="Arial" w:hAnsi="Arial" w:cs="Arial"/>
          <w:sz w:val="22"/>
          <w:szCs w:val="22"/>
        </w:rPr>
      </w:pPr>
    </w:p>
    <w:p w14:paraId="642C15C7" w14:textId="77777777" w:rsidR="009B59C9" w:rsidRPr="00126EA9" w:rsidRDefault="009B59C9" w:rsidP="007655D5">
      <w:pPr>
        <w:jc w:val="both"/>
        <w:rPr>
          <w:rFonts w:ascii="Arial" w:hAnsi="Arial" w:cs="Arial"/>
          <w:sz w:val="22"/>
          <w:szCs w:val="22"/>
        </w:rPr>
      </w:pPr>
      <w:r>
        <w:tab/>
      </w:r>
      <w:r>
        <w:tab/>
      </w:r>
      <w:r>
        <w:tab/>
      </w:r>
      <w:r>
        <w:tab/>
      </w:r>
      <w:r>
        <w:tab/>
      </w:r>
      <w:r>
        <w:tab/>
      </w:r>
      <w:r>
        <w:tab/>
      </w:r>
      <w:r>
        <w:rPr>
          <w:rFonts w:ascii="Arial" w:hAnsi="Arial"/>
          <w:sz w:val="22"/>
        </w:rPr>
        <w:t>_________________________</w:t>
      </w:r>
    </w:p>
    <w:p w14:paraId="0A4C71DA" w14:textId="3EE41D1A" w:rsidR="009B59C9" w:rsidRPr="00126EA9" w:rsidRDefault="009B59C9" w:rsidP="007655D5">
      <w:pPr>
        <w:jc w:val="both"/>
        <w:rPr>
          <w:rFonts w:ascii="Arial" w:hAnsi="Arial" w:cs="Arial"/>
          <w:sz w:val="22"/>
          <w:szCs w:val="22"/>
        </w:rPr>
      </w:pPr>
      <w:r>
        <w:tab/>
      </w:r>
      <w:r>
        <w:tab/>
      </w:r>
      <w:r>
        <w:tab/>
      </w:r>
      <w:r>
        <w:tab/>
      </w:r>
      <w:r>
        <w:tab/>
      </w:r>
      <w:r>
        <w:tab/>
      </w:r>
      <w:r>
        <w:tab/>
      </w:r>
      <w:r w:rsidR="007655D5">
        <w:rPr>
          <w:rFonts w:ascii="Arial" w:hAnsi="Arial"/>
          <w:sz w:val="22"/>
        </w:rPr>
        <w:t xml:space="preserve"> </w:t>
      </w:r>
      <w:r>
        <w:rPr>
          <w:rFonts w:ascii="Arial" w:hAnsi="Arial"/>
          <w:sz w:val="22"/>
        </w:rPr>
        <w:t>Ім'я друкованими літерами</w:t>
      </w:r>
    </w:p>
    <w:p w14:paraId="31B863A8" w14:textId="77777777" w:rsidR="009B59C9" w:rsidRPr="00126EA9" w:rsidRDefault="009B59C9" w:rsidP="007655D5">
      <w:pPr>
        <w:jc w:val="both"/>
        <w:rPr>
          <w:rFonts w:ascii="Arial" w:hAnsi="Arial" w:cs="Arial"/>
          <w:sz w:val="22"/>
          <w:szCs w:val="22"/>
        </w:rPr>
      </w:pPr>
    </w:p>
    <w:p w14:paraId="09D3E4FF" w14:textId="77777777" w:rsidR="009B59C9" w:rsidRPr="00126EA9" w:rsidRDefault="009B59C9" w:rsidP="007655D5">
      <w:pPr>
        <w:jc w:val="both"/>
        <w:rPr>
          <w:rFonts w:ascii="Arial" w:hAnsi="Arial" w:cs="Arial"/>
          <w:sz w:val="22"/>
          <w:szCs w:val="22"/>
        </w:rPr>
      </w:pPr>
      <w:r>
        <w:tab/>
      </w:r>
      <w:r>
        <w:tab/>
      </w:r>
      <w:r>
        <w:tab/>
      </w:r>
      <w:r>
        <w:tab/>
      </w:r>
      <w:r>
        <w:tab/>
      </w:r>
      <w:r>
        <w:tab/>
      </w:r>
      <w:r>
        <w:tab/>
      </w:r>
      <w:r>
        <w:rPr>
          <w:rFonts w:ascii="Arial" w:hAnsi="Arial"/>
          <w:sz w:val="22"/>
        </w:rPr>
        <w:t>_________________________</w:t>
      </w:r>
    </w:p>
    <w:p w14:paraId="2104D09F" w14:textId="595FADF0" w:rsidR="009B59C9" w:rsidRPr="00126EA9" w:rsidRDefault="007655D5" w:rsidP="007655D5">
      <w:pPr>
        <w:jc w:val="both"/>
        <w:rPr>
          <w:rFonts w:ascii="Arial" w:hAnsi="Arial" w:cs="Arial"/>
          <w:sz w:val="22"/>
          <w:szCs w:val="22"/>
        </w:rPr>
      </w:pPr>
      <w:r>
        <w:tab/>
      </w:r>
      <w:r>
        <w:tab/>
      </w:r>
      <w:r>
        <w:tab/>
      </w:r>
      <w:r>
        <w:tab/>
      </w:r>
      <w:r>
        <w:tab/>
      </w:r>
      <w:r>
        <w:tab/>
      </w:r>
      <w:r>
        <w:tab/>
      </w:r>
      <w:r w:rsidR="009B59C9">
        <w:rPr>
          <w:rFonts w:ascii="Arial" w:hAnsi="Arial"/>
          <w:sz w:val="22"/>
        </w:rPr>
        <w:t>Посада</w:t>
      </w:r>
    </w:p>
    <w:p w14:paraId="50C43043" w14:textId="77777777" w:rsidR="009B59C9" w:rsidRPr="00126EA9" w:rsidRDefault="009B59C9" w:rsidP="007655D5">
      <w:pPr>
        <w:jc w:val="both"/>
        <w:rPr>
          <w:rFonts w:ascii="Arial" w:hAnsi="Arial" w:cs="Arial"/>
          <w:sz w:val="22"/>
          <w:szCs w:val="22"/>
        </w:rPr>
      </w:pPr>
    </w:p>
    <w:p w14:paraId="117C65A4" w14:textId="77777777" w:rsidR="009B59C9" w:rsidRPr="00126EA9" w:rsidRDefault="009B59C9" w:rsidP="007655D5">
      <w:pPr>
        <w:jc w:val="both"/>
        <w:rPr>
          <w:rFonts w:ascii="Arial" w:hAnsi="Arial" w:cs="Arial"/>
          <w:sz w:val="22"/>
          <w:szCs w:val="22"/>
        </w:rPr>
      </w:pPr>
      <w:r>
        <w:tab/>
      </w:r>
      <w:r>
        <w:tab/>
      </w:r>
      <w:r>
        <w:tab/>
      </w:r>
      <w:r>
        <w:tab/>
      </w:r>
      <w:r>
        <w:tab/>
      </w:r>
      <w:r>
        <w:tab/>
      </w:r>
      <w:r>
        <w:tab/>
      </w:r>
      <w:r>
        <w:rPr>
          <w:rFonts w:ascii="Arial" w:hAnsi="Arial"/>
          <w:sz w:val="22"/>
        </w:rPr>
        <w:t>_________________________</w:t>
      </w:r>
    </w:p>
    <w:p w14:paraId="6C53FC3F" w14:textId="1D28FA66" w:rsidR="009B59C9" w:rsidRDefault="007655D5" w:rsidP="007655D5">
      <w:pPr>
        <w:jc w:val="both"/>
        <w:rPr>
          <w:rFonts w:ascii="Arial" w:hAnsi="Arial" w:cs="Arial"/>
          <w:sz w:val="22"/>
          <w:szCs w:val="22"/>
        </w:rPr>
      </w:pPr>
      <w:r>
        <w:tab/>
      </w:r>
      <w:r>
        <w:tab/>
      </w:r>
      <w:r>
        <w:tab/>
      </w:r>
      <w:r>
        <w:tab/>
      </w:r>
      <w:r>
        <w:tab/>
      </w:r>
      <w:r>
        <w:tab/>
      </w:r>
      <w:r>
        <w:tab/>
      </w:r>
      <w:r w:rsidR="009B59C9">
        <w:rPr>
          <w:rFonts w:ascii="Arial" w:hAnsi="Arial"/>
          <w:sz w:val="22"/>
        </w:rPr>
        <w:t>Дата</w:t>
      </w:r>
    </w:p>
    <w:p w14:paraId="44048F06" w14:textId="77777777" w:rsidR="009B59C9" w:rsidRPr="00196434" w:rsidRDefault="009B59C9" w:rsidP="007655D5">
      <w:pPr>
        <w:jc w:val="both"/>
        <w:rPr>
          <w:rFonts w:ascii="Arial" w:hAnsi="Arial" w:cs="Arial"/>
          <w:b/>
          <w:bCs/>
          <w:color w:val="000000"/>
          <w:sz w:val="22"/>
          <w:szCs w:val="22"/>
        </w:rPr>
      </w:pPr>
      <w:bookmarkStart w:id="1" w:name="_GoBack"/>
      <w:bookmarkEnd w:id="1"/>
    </w:p>
    <w:p w14:paraId="7DEFA934" w14:textId="77777777" w:rsidR="009B59C9" w:rsidRPr="00196434" w:rsidRDefault="009B59C9" w:rsidP="007655D5">
      <w:pPr>
        <w:jc w:val="both"/>
        <w:rPr>
          <w:rFonts w:ascii="Arial" w:hAnsi="Arial" w:cs="Arial"/>
          <w:b/>
          <w:bCs/>
          <w:color w:val="000000"/>
          <w:sz w:val="22"/>
          <w:szCs w:val="22"/>
        </w:rPr>
      </w:pPr>
      <w:r>
        <w:rPr>
          <w:rFonts w:ascii="Arial" w:hAnsi="Arial"/>
          <w:b/>
          <w:color w:val="000000"/>
          <w:sz w:val="22"/>
        </w:rPr>
        <w:lastRenderedPageBreak/>
        <w:t xml:space="preserve">Заборона надання федеральної допомоги суб'єктам, які вимагають укладення певних внутрішніх договорів про конфіденційність – Заява (травень 2017 р.) </w:t>
      </w:r>
    </w:p>
    <w:p w14:paraId="6E3B206E" w14:textId="77777777" w:rsidR="009B59C9" w:rsidRPr="00196434" w:rsidRDefault="009B59C9" w:rsidP="007655D5">
      <w:pPr>
        <w:suppressAutoHyphens w:val="0"/>
        <w:autoSpaceDE w:val="0"/>
        <w:autoSpaceDN w:val="0"/>
        <w:adjustRightInd w:val="0"/>
        <w:jc w:val="both"/>
        <w:rPr>
          <w:rFonts w:ascii="Arial" w:hAnsi="Arial" w:cs="Arial"/>
          <w:color w:val="000000"/>
          <w:sz w:val="23"/>
          <w:szCs w:val="23"/>
        </w:rPr>
      </w:pPr>
    </w:p>
    <w:p w14:paraId="6D581591" w14:textId="77777777" w:rsidR="009B59C9" w:rsidRPr="00196434" w:rsidRDefault="009B59C9" w:rsidP="007655D5">
      <w:pPr>
        <w:suppressAutoHyphens w:val="0"/>
        <w:autoSpaceDE w:val="0"/>
        <w:autoSpaceDN w:val="0"/>
        <w:adjustRightInd w:val="0"/>
        <w:jc w:val="both"/>
        <w:rPr>
          <w:rFonts w:ascii="Arial" w:hAnsi="Arial" w:cs="Arial"/>
          <w:color w:val="000000"/>
          <w:sz w:val="23"/>
          <w:szCs w:val="23"/>
        </w:rPr>
      </w:pPr>
      <w:r>
        <w:rPr>
          <w:rFonts w:ascii="Arial" w:hAnsi="Arial"/>
          <w:color w:val="000000"/>
          <w:sz w:val="23"/>
        </w:rPr>
        <w:t xml:space="preserve">(a) Визначення. </w:t>
      </w:r>
    </w:p>
    <w:p w14:paraId="67405462" w14:textId="77777777" w:rsidR="009B59C9" w:rsidRPr="00196434" w:rsidRDefault="009B59C9" w:rsidP="007655D5">
      <w:pPr>
        <w:suppressAutoHyphens w:val="0"/>
        <w:autoSpaceDE w:val="0"/>
        <w:autoSpaceDN w:val="0"/>
        <w:adjustRightInd w:val="0"/>
        <w:jc w:val="both"/>
        <w:rPr>
          <w:rFonts w:ascii="Arial" w:hAnsi="Arial" w:cs="Arial"/>
          <w:color w:val="000000"/>
          <w:sz w:val="23"/>
          <w:szCs w:val="23"/>
        </w:rPr>
      </w:pPr>
    </w:p>
    <w:p w14:paraId="29F2256B" w14:textId="77777777" w:rsidR="009B59C9" w:rsidRPr="00196434" w:rsidRDefault="009B59C9" w:rsidP="007655D5">
      <w:pPr>
        <w:suppressAutoHyphens w:val="0"/>
        <w:autoSpaceDE w:val="0"/>
        <w:autoSpaceDN w:val="0"/>
        <w:adjustRightInd w:val="0"/>
        <w:jc w:val="both"/>
        <w:rPr>
          <w:rFonts w:ascii="Arial" w:hAnsi="Arial" w:cs="Arial"/>
          <w:color w:val="000000"/>
          <w:sz w:val="23"/>
          <w:szCs w:val="23"/>
        </w:rPr>
      </w:pPr>
      <w:r>
        <w:rPr>
          <w:rFonts w:ascii="Arial" w:hAnsi="Arial"/>
          <w:color w:val="000000"/>
          <w:sz w:val="23"/>
        </w:rPr>
        <w:t xml:space="preserve">“Контракт” має значення відповідно до розділу 200 глави 2 Кодексу федеральних правил. </w:t>
      </w:r>
    </w:p>
    <w:p w14:paraId="49925057" w14:textId="77777777" w:rsidR="009B59C9" w:rsidRPr="00196434" w:rsidRDefault="009B59C9" w:rsidP="007655D5">
      <w:pPr>
        <w:suppressAutoHyphens w:val="0"/>
        <w:autoSpaceDE w:val="0"/>
        <w:autoSpaceDN w:val="0"/>
        <w:adjustRightInd w:val="0"/>
        <w:jc w:val="both"/>
        <w:rPr>
          <w:rFonts w:ascii="Arial" w:hAnsi="Arial" w:cs="Arial"/>
          <w:color w:val="000000"/>
          <w:sz w:val="23"/>
          <w:szCs w:val="23"/>
        </w:rPr>
      </w:pPr>
    </w:p>
    <w:p w14:paraId="0D20E49D" w14:textId="77777777" w:rsidR="009B59C9" w:rsidRPr="00196434" w:rsidRDefault="009B59C9" w:rsidP="007655D5">
      <w:pPr>
        <w:suppressAutoHyphens w:val="0"/>
        <w:autoSpaceDE w:val="0"/>
        <w:autoSpaceDN w:val="0"/>
        <w:adjustRightInd w:val="0"/>
        <w:jc w:val="both"/>
        <w:rPr>
          <w:rFonts w:ascii="Arial" w:hAnsi="Arial" w:cs="Arial"/>
          <w:color w:val="000000"/>
          <w:sz w:val="23"/>
          <w:szCs w:val="23"/>
        </w:rPr>
      </w:pPr>
      <w:r>
        <w:rPr>
          <w:rFonts w:ascii="Arial" w:hAnsi="Arial"/>
          <w:color w:val="000000"/>
          <w:sz w:val="23"/>
        </w:rPr>
        <w:t xml:space="preserve">“Підрядник” означає суб'єкта, який отримує контракт, як визначено в розділі 200 глави 2 Кодексу федеральних правил. </w:t>
      </w:r>
    </w:p>
    <w:p w14:paraId="41EF07B1" w14:textId="77777777" w:rsidR="009B59C9" w:rsidRPr="00196434" w:rsidRDefault="009B59C9" w:rsidP="007655D5">
      <w:pPr>
        <w:suppressAutoHyphens w:val="0"/>
        <w:autoSpaceDE w:val="0"/>
        <w:autoSpaceDN w:val="0"/>
        <w:adjustRightInd w:val="0"/>
        <w:jc w:val="both"/>
        <w:rPr>
          <w:rFonts w:ascii="Arial" w:hAnsi="Arial" w:cs="Arial"/>
          <w:color w:val="000000"/>
          <w:sz w:val="23"/>
          <w:szCs w:val="23"/>
        </w:rPr>
      </w:pPr>
    </w:p>
    <w:p w14:paraId="0A06F509" w14:textId="77777777" w:rsidR="009B59C9" w:rsidRPr="00196434" w:rsidRDefault="009B59C9" w:rsidP="007655D5">
      <w:pPr>
        <w:suppressAutoHyphens w:val="0"/>
        <w:autoSpaceDE w:val="0"/>
        <w:autoSpaceDN w:val="0"/>
        <w:adjustRightInd w:val="0"/>
        <w:jc w:val="both"/>
        <w:rPr>
          <w:rFonts w:ascii="Arial" w:hAnsi="Arial" w:cs="Arial"/>
          <w:color w:val="000000"/>
          <w:sz w:val="23"/>
          <w:szCs w:val="23"/>
        </w:rPr>
      </w:pPr>
      <w:r>
        <w:rPr>
          <w:rFonts w:ascii="Arial" w:hAnsi="Arial"/>
          <w:color w:val="000000"/>
          <w:sz w:val="23"/>
        </w:rPr>
        <w:t xml:space="preserve">“Внутрішня угода або заява про конфіденційність” означає угоду про конфіденційність або будь-яку іншу письмову заяву про нерозголошення інформації реципієнта, підписання якої реципієнт вимагає від будь-якого свого працівника або субреципієнта, за винятком угод про конфіденційність, які випливають із цивільних процесів, або угод про конфіденційність, які субреципієнти або працівники реципієнта підписують на вимогу Федерального агентства. </w:t>
      </w:r>
    </w:p>
    <w:p w14:paraId="47F304AE" w14:textId="77777777" w:rsidR="009B59C9" w:rsidRPr="00196434" w:rsidRDefault="009B59C9" w:rsidP="007655D5">
      <w:pPr>
        <w:suppressAutoHyphens w:val="0"/>
        <w:autoSpaceDE w:val="0"/>
        <w:autoSpaceDN w:val="0"/>
        <w:adjustRightInd w:val="0"/>
        <w:jc w:val="both"/>
        <w:rPr>
          <w:rFonts w:ascii="Arial" w:hAnsi="Arial" w:cs="Arial"/>
          <w:color w:val="000000"/>
          <w:sz w:val="23"/>
          <w:szCs w:val="23"/>
        </w:rPr>
      </w:pPr>
    </w:p>
    <w:p w14:paraId="510759B5" w14:textId="77777777" w:rsidR="009B59C9" w:rsidRPr="00196434" w:rsidRDefault="009B59C9" w:rsidP="007655D5">
      <w:pPr>
        <w:suppressAutoHyphens w:val="0"/>
        <w:autoSpaceDE w:val="0"/>
        <w:autoSpaceDN w:val="0"/>
        <w:adjustRightInd w:val="0"/>
        <w:jc w:val="both"/>
        <w:rPr>
          <w:rFonts w:ascii="Arial" w:hAnsi="Arial" w:cs="Arial"/>
          <w:color w:val="000000"/>
          <w:sz w:val="23"/>
          <w:szCs w:val="23"/>
        </w:rPr>
      </w:pPr>
      <w:r>
        <w:rPr>
          <w:rFonts w:ascii="Arial" w:hAnsi="Arial"/>
          <w:color w:val="000000"/>
          <w:sz w:val="23"/>
        </w:rPr>
        <w:t xml:space="preserve">“Субгрант” має значення відповідно до розділу 200 глави 2 Кодексу федеральних правил. </w:t>
      </w:r>
    </w:p>
    <w:p w14:paraId="22094E12" w14:textId="77777777" w:rsidR="009B59C9" w:rsidRPr="00196434" w:rsidRDefault="009B59C9" w:rsidP="007655D5">
      <w:pPr>
        <w:suppressAutoHyphens w:val="0"/>
        <w:autoSpaceDE w:val="0"/>
        <w:autoSpaceDN w:val="0"/>
        <w:adjustRightInd w:val="0"/>
        <w:jc w:val="both"/>
        <w:rPr>
          <w:rFonts w:ascii="Arial" w:hAnsi="Arial" w:cs="Arial"/>
          <w:color w:val="000000"/>
          <w:sz w:val="23"/>
          <w:szCs w:val="23"/>
        </w:rPr>
      </w:pPr>
    </w:p>
    <w:p w14:paraId="5A04CFCB" w14:textId="77777777" w:rsidR="009B59C9" w:rsidRPr="00196434" w:rsidRDefault="009B59C9" w:rsidP="007655D5">
      <w:pPr>
        <w:suppressAutoHyphens w:val="0"/>
        <w:autoSpaceDE w:val="0"/>
        <w:autoSpaceDN w:val="0"/>
        <w:adjustRightInd w:val="0"/>
        <w:jc w:val="both"/>
        <w:rPr>
          <w:rFonts w:ascii="Arial" w:hAnsi="Arial" w:cs="Arial"/>
          <w:color w:val="000000"/>
          <w:sz w:val="23"/>
          <w:szCs w:val="23"/>
        </w:rPr>
      </w:pPr>
      <w:r>
        <w:rPr>
          <w:rFonts w:ascii="Arial" w:hAnsi="Arial"/>
          <w:color w:val="000000"/>
          <w:sz w:val="23"/>
        </w:rPr>
        <w:t xml:space="preserve">“Субреципієнт” має значення відповідно до розділу 200 глави 2 Кодексу федеральних правил. </w:t>
      </w:r>
    </w:p>
    <w:p w14:paraId="05A494FD" w14:textId="77777777" w:rsidR="009B59C9" w:rsidRPr="00196434" w:rsidRDefault="009B59C9" w:rsidP="007655D5">
      <w:pPr>
        <w:suppressAutoHyphens w:val="0"/>
        <w:autoSpaceDE w:val="0"/>
        <w:autoSpaceDN w:val="0"/>
        <w:adjustRightInd w:val="0"/>
        <w:jc w:val="both"/>
        <w:rPr>
          <w:rFonts w:ascii="Arial" w:hAnsi="Arial" w:cs="Arial"/>
          <w:color w:val="000000"/>
          <w:sz w:val="23"/>
          <w:szCs w:val="23"/>
        </w:rPr>
      </w:pPr>
    </w:p>
    <w:p w14:paraId="15F45327" w14:textId="77777777" w:rsidR="009B59C9" w:rsidRPr="00196434" w:rsidRDefault="009B59C9" w:rsidP="007655D5">
      <w:pPr>
        <w:suppressAutoHyphens w:val="0"/>
        <w:autoSpaceDE w:val="0"/>
        <w:autoSpaceDN w:val="0"/>
        <w:adjustRightInd w:val="0"/>
        <w:jc w:val="both"/>
        <w:rPr>
          <w:rFonts w:ascii="Arial" w:hAnsi="Arial" w:cs="Arial"/>
          <w:color w:val="000000"/>
          <w:sz w:val="23"/>
          <w:szCs w:val="23"/>
        </w:rPr>
      </w:pPr>
      <w:r>
        <w:rPr>
          <w:rFonts w:ascii="Arial" w:hAnsi="Arial"/>
          <w:color w:val="000000"/>
          <w:sz w:val="23"/>
        </w:rPr>
        <w:t xml:space="preserve">(B) Згідно з Розділом 743 Частини Е Глави VII Закону про консолідовані та подальші безперервні бюджетні асигнування 2015 року (Публічний закон №113-235) та положеннями-правонаступниками подальших законів про бюджетні асигнування (з урахуванням положень резолюцій про продовження фінансування поточних державних витрат), державним установам забороняється використовувати кошти федеральної допомоги, виділених (чи іншим чином наданих) нефедеральному суб’єкту, який вимагає від своїх працівників, субреципієнтів або підрядників, які прагнуть повідомити про факти марнування коштів, шахрайства чи зловживання, підписувати внутрішні угоди або заяви про конфіденційність, які забороняють або іншим чином обмежують можливість цих працівників, субреципієнтів або підрядників повідомляти у законний спосіб про такі факти марнування коштів, шахрайства чи зловживання відповідальних представників уповноваженого одержувати таку інформацію федерального міністерства чи агентства, на яких покладено функції проведення розслідувань чи забезпечення виконання законів. </w:t>
      </w:r>
    </w:p>
    <w:p w14:paraId="5926BD35" w14:textId="77777777" w:rsidR="009B59C9" w:rsidRPr="00196434" w:rsidRDefault="009B59C9" w:rsidP="007655D5">
      <w:pPr>
        <w:suppressAutoHyphens w:val="0"/>
        <w:autoSpaceDE w:val="0"/>
        <w:autoSpaceDN w:val="0"/>
        <w:adjustRightInd w:val="0"/>
        <w:jc w:val="both"/>
        <w:rPr>
          <w:rFonts w:ascii="Arial" w:hAnsi="Arial" w:cs="Arial"/>
          <w:color w:val="000000"/>
          <w:sz w:val="23"/>
          <w:szCs w:val="23"/>
        </w:rPr>
      </w:pPr>
    </w:p>
    <w:p w14:paraId="3E358361" w14:textId="77777777" w:rsidR="009B59C9" w:rsidRPr="00196434" w:rsidRDefault="009B59C9" w:rsidP="007655D5">
      <w:pPr>
        <w:suppressAutoHyphens w:val="0"/>
        <w:autoSpaceDE w:val="0"/>
        <w:autoSpaceDN w:val="0"/>
        <w:adjustRightInd w:val="0"/>
        <w:jc w:val="both"/>
        <w:rPr>
          <w:rFonts w:ascii="Arial" w:hAnsi="Arial" w:cs="Arial"/>
          <w:color w:val="000000"/>
          <w:sz w:val="23"/>
          <w:szCs w:val="23"/>
        </w:rPr>
      </w:pPr>
      <w:r>
        <w:rPr>
          <w:rFonts w:ascii="Arial" w:hAnsi="Arial"/>
          <w:color w:val="000000"/>
          <w:sz w:val="23"/>
        </w:rPr>
        <w:t xml:space="preserve">(с) Заборона, встановлена абзацом (б) цього положення, не суперечить вимогам, застосовним до Стандартної форми 312 (Угода про нерозголошення секретної інформації ), Форми 4414 (Угода про нерозголошення надсекретної інформації) та будь-якої іншої форми федерального міністерства чи агентства, що регулює нерозголошення секретної інформації. </w:t>
      </w:r>
    </w:p>
    <w:p w14:paraId="25FDF403" w14:textId="77777777" w:rsidR="009B59C9" w:rsidRPr="00196434" w:rsidRDefault="009B59C9" w:rsidP="007655D5">
      <w:pPr>
        <w:pageBreakBefore/>
        <w:suppressAutoHyphens w:val="0"/>
        <w:autoSpaceDE w:val="0"/>
        <w:autoSpaceDN w:val="0"/>
        <w:adjustRightInd w:val="0"/>
        <w:jc w:val="both"/>
        <w:rPr>
          <w:rFonts w:ascii="Arial" w:hAnsi="Arial" w:cs="Arial"/>
          <w:sz w:val="23"/>
          <w:szCs w:val="23"/>
        </w:rPr>
      </w:pPr>
      <w:r>
        <w:rPr>
          <w:rFonts w:ascii="Arial" w:hAnsi="Arial"/>
          <w:sz w:val="23"/>
        </w:rPr>
        <w:lastRenderedPageBreak/>
        <w:t xml:space="preserve">(d) Заява. Подаючи заявку, потенційний реципієнт заявляє, що він не вимагатиме від своїх працівників, субреципієнтів або підрядників підписувати або дотримуватись внутрішніх угод або заяв про конфіденційність, які забороняють або іншим чином обмежують можливість цих працівників, субреципієнтів або підрядників повідомляти у законний спосіб про факти марнування коштів, шахрайства чи зловживання, пов’язаного з виконанням федерального гранту, відповідальних представників уповноваженого одержувати таку інформацію федерального міністерства чи агентства, на яких покладено функції проведення розслідувань чи забезпечення виконання законів (наприклад, Офіс Генерального інспектора Агентства). </w:t>
      </w:r>
    </w:p>
    <w:p w14:paraId="1A86CD6A" w14:textId="77777777" w:rsidR="009B59C9" w:rsidRPr="00196434" w:rsidRDefault="009B59C9" w:rsidP="007655D5">
      <w:pPr>
        <w:suppressAutoHyphens w:val="0"/>
        <w:autoSpaceDE w:val="0"/>
        <w:autoSpaceDN w:val="0"/>
        <w:adjustRightInd w:val="0"/>
        <w:jc w:val="both"/>
        <w:rPr>
          <w:rFonts w:ascii="Arial" w:hAnsi="Arial" w:cs="Arial"/>
          <w:sz w:val="23"/>
          <w:szCs w:val="23"/>
        </w:rPr>
      </w:pPr>
    </w:p>
    <w:p w14:paraId="4083296F" w14:textId="15372FF4" w:rsidR="009B59C9" w:rsidRPr="00196434" w:rsidRDefault="009B59C9" w:rsidP="007655D5">
      <w:pPr>
        <w:suppressAutoHyphens w:val="0"/>
        <w:autoSpaceDE w:val="0"/>
        <w:autoSpaceDN w:val="0"/>
        <w:adjustRightInd w:val="0"/>
        <w:jc w:val="both"/>
        <w:rPr>
          <w:rFonts w:ascii="Arial" w:hAnsi="Arial" w:cs="Arial"/>
          <w:color w:val="000000"/>
          <w:sz w:val="22"/>
          <w:szCs w:val="22"/>
        </w:rPr>
      </w:pPr>
      <w:r>
        <w:rPr>
          <w:rFonts w:ascii="Arial" w:hAnsi="Arial"/>
          <w:sz w:val="23"/>
        </w:rPr>
        <w:t>(КІНЕЦЬ ПОЛОЖЕННЯ)</w:t>
      </w:r>
      <w:r w:rsidR="007655D5">
        <w:rPr>
          <w:rFonts w:ascii="Arial" w:hAnsi="Arial"/>
          <w:sz w:val="23"/>
        </w:rPr>
        <w:t xml:space="preserve"> </w:t>
      </w:r>
    </w:p>
    <w:p w14:paraId="02D95D92" w14:textId="77777777" w:rsidR="009B59C9" w:rsidRPr="00196434" w:rsidRDefault="009B59C9" w:rsidP="007655D5">
      <w:pPr>
        <w:suppressAutoHyphens w:val="0"/>
        <w:autoSpaceDE w:val="0"/>
        <w:autoSpaceDN w:val="0"/>
        <w:adjustRightInd w:val="0"/>
        <w:jc w:val="both"/>
        <w:rPr>
          <w:rFonts w:ascii="Arial" w:hAnsi="Arial" w:cs="Arial"/>
          <w:color w:val="000000"/>
          <w:sz w:val="22"/>
          <w:szCs w:val="22"/>
        </w:rPr>
      </w:pPr>
    </w:p>
    <w:p w14:paraId="67E76023" w14:textId="77777777" w:rsidR="009B59C9" w:rsidRPr="00196434" w:rsidRDefault="009B59C9" w:rsidP="007655D5">
      <w:pPr>
        <w:suppressAutoHyphens w:val="0"/>
        <w:autoSpaceDE w:val="0"/>
        <w:autoSpaceDN w:val="0"/>
        <w:adjustRightInd w:val="0"/>
        <w:jc w:val="both"/>
        <w:rPr>
          <w:rFonts w:ascii="Arial" w:hAnsi="Arial" w:cs="Arial"/>
          <w:color w:val="000000"/>
          <w:sz w:val="22"/>
          <w:szCs w:val="22"/>
        </w:rPr>
      </w:pPr>
    </w:p>
    <w:p w14:paraId="325FFE1A" w14:textId="77777777" w:rsidR="009B59C9" w:rsidRPr="00196434" w:rsidRDefault="009B59C9" w:rsidP="007655D5">
      <w:pPr>
        <w:suppressAutoHyphens w:val="0"/>
        <w:autoSpaceDE w:val="0"/>
        <w:autoSpaceDN w:val="0"/>
        <w:adjustRightInd w:val="0"/>
        <w:jc w:val="both"/>
        <w:rPr>
          <w:rFonts w:ascii="Arial" w:hAnsi="Arial" w:cs="Arial"/>
          <w:color w:val="000000"/>
          <w:sz w:val="23"/>
          <w:szCs w:val="23"/>
        </w:rPr>
      </w:pPr>
    </w:p>
    <w:p w14:paraId="27A3FEB1" w14:textId="77777777" w:rsidR="009B59C9" w:rsidRPr="00196434" w:rsidRDefault="009B59C9" w:rsidP="007655D5">
      <w:pPr>
        <w:suppressAutoHyphens w:val="0"/>
        <w:autoSpaceDE w:val="0"/>
        <w:autoSpaceDN w:val="0"/>
        <w:adjustRightInd w:val="0"/>
        <w:jc w:val="both"/>
        <w:rPr>
          <w:rFonts w:ascii="Arial" w:hAnsi="Arial" w:cs="Arial"/>
          <w:color w:val="000000"/>
          <w:sz w:val="23"/>
          <w:szCs w:val="23"/>
        </w:rPr>
      </w:pPr>
    </w:p>
    <w:p w14:paraId="596E9E92" w14:textId="77777777" w:rsidR="009B59C9" w:rsidRPr="00196434" w:rsidRDefault="009B59C9" w:rsidP="007655D5">
      <w:pPr>
        <w:ind w:left="4320" w:firstLine="720"/>
        <w:jc w:val="both"/>
        <w:rPr>
          <w:rFonts w:ascii="Arial" w:hAnsi="Arial" w:cs="Arial"/>
          <w:sz w:val="22"/>
          <w:szCs w:val="22"/>
        </w:rPr>
      </w:pPr>
      <w:r>
        <w:rPr>
          <w:rFonts w:ascii="Arial" w:hAnsi="Arial"/>
          <w:sz w:val="22"/>
        </w:rPr>
        <w:t>_________________________</w:t>
      </w:r>
    </w:p>
    <w:p w14:paraId="03C631D1" w14:textId="48551EDC" w:rsidR="009B59C9" w:rsidRPr="00196434" w:rsidRDefault="007655D5" w:rsidP="007655D5">
      <w:pPr>
        <w:jc w:val="both"/>
        <w:rPr>
          <w:rFonts w:ascii="Arial" w:hAnsi="Arial" w:cs="Arial"/>
          <w:color w:val="000000"/>
          <w:sz w:val="22"/>
          <w:szCs w:val="22"/>
        </w:rPr>
      </w:pPr>
      <w:r>
        <w:tab/>
      </w:r>
      <w:r>
        <w:tab/>
      </w:r>
      <w:r>
        <w:tab/>
      </w:r>
      <w:r>
        <w:tab/>
      </w:r>
      <w:r>
        <w:tab/>
      </w:r>
      <w:r>
        <w:tab/>
      </w:r>
      <w:r>
        <w:tab/>
      </w:r>
      <w:r w:rsidR="009B59C9">
        <w:rPr>
          <w:rFonts w:ascii="Arial" w:hAnsi="Arial"/>
          <w:color w:val="000000"/>
          <w:sz w:val="22"/>
        </w:rPr>
        <w:t>Підпис</w:t>
      </w:r>
    </w:p>
    <w:p w14:paraId="6571CC2E" w14:textId="77777777" w:rsidR="009B59C9" w:rsidRPr="00196434" w:rsidRDefault="009B59C9" w:rsidP="007655D5">
      <w:pPr>
        <w:jc w:val="both"/>
        <w:rPr>
          <w:rFonts w:ascii="Arial" w:hAnsi="Arial" w:cs="Arial"/>
          <w:color w:val="000000"/>
          <w:sz w:val="22"/>
          <w:szCs w:val="22"/>
        </w:rPr>
      </w:pPr>
    </w:p>
    <w:p w14:paraId="59B2F5D3" w14:textId="77777777" w:rsidR="009B59C9" w:rsidRPr="00196434" w:rsidRDefault="009B59C9" w:rsidP="007655D5">
      <w:pPr>
        <w:jc w:val="both"/>
        <w:rPr>
          <w:rFonts w:ascii="Arial" w:hAnsi="Arial" w:cs="Arial"/>
          <w:color w:val="000000"/>
          <w:sz w:val="22"/>
          <w:szCs w:val="22"/>
        </w:rPr>
      </w:pPr>
      <w:r>
        <w:tab/>
      </w:r>
      <w:r>
        <w:tab/>
      </w:r>
      <w:r>
        <w:tab/>
      </w:r>
      <w:r>
        <w:tab/>
      </w:r>
      <w:r>
        <w:tab/>
      </w:r>
      <w:r>
        <w:tab/>
      </w:r>
      <w:r>
        <w:tab/>
      </w:r>
      <w:r>
        <w:rPr>
          <w:rFonts w:ascii="Arial" w:hAnsi="Arial"/>
          <w:color w:val="000000"/>
          <w:sz w:val="22"/>
        </w:rPr>
        <w:t>_________________________</w:t>
      </w:r>
    </w:p>
    <w:p w14:paraId="418D75D2" w14:textId="5A7B0525" w:rsidR="009B59C9" w:rsidRPr="00196434" w:rsidRDefault="009B59C9" w:rsidP="007655D5">
      <w:pPr>
        <w:jc w:val="both"/>
        <w:rPr>
          <w:rFonts w:ascii="Arial" w:hAnsi="Arial" w:cs="Arial"/>
          <w:color w:val="000000"/>
          <w:sz w:val="22"/>
          <w:szCs w:val="22"/>
        </w:rPr>
      </w:pPr>
      <w:r>
        <w:tab/>
      </w:r>
      <w:r>
        <w:tab/>
      </w:r>
      <w:r>
        <w:tab/>
      </w:r>
      <w:r>
        <w:tab/>
      </w:r>
      <w:r>
        <w:tab/>
      </w:r>
      <w:r>
        <w:tab/>
      </w:r>
      <w:r>
        <w:tab/>
      </w:r>
      <w:r w:rsidR="007655D5">
        <w:rPr>
          <w:rFonts w:ascii="Arial" w:hAnsi="Arial"/>
          <w:color w:val="000000"/>
          <w:sz w:val="22"/>
        </w:rPr>
        <w:t xml:space="preserve"> </w:t>
      </w:r>
      <w:r>
        <w:rPr>
          <w:rFonts w:ascii="Arial" w:hAnsi="Arial"/>
          <w:color w:val="000000"/>
          <w:sz w:val="22"/>
        </w:rPr>
        <w:t>Ім'я друкованими літерами</w:t>
      </w:r>
    </w:p>
    <w:p w14:paraId="6AEDCEC8" w14:textId="77777777" w:rsidR="009B59C9" w:rsidRPr="00196434" w:rsidRDefault="009B59C9" w:rsidP="007655D5">
      <w:pPr>
        <w:jc w:val="both"/>
        <w:rPr>
          <w:rFonts w:ascii="Arial" w:hAnsi="Arial" w:cs="Arial"/>
          <w:color w:val="000000"/>
          <w:sz w:val="22"/>
          <w:szCs w:val="22"/>
        </w:rPr>
      </w:pPr>
    </w:p>
    <w:p w14:paraId="4022B229" w14:textId="77777777" w:rsidR="009B59C9" w:rsidRPr="00196434" w:rsidRDefault="009B59C9" w:rsidP="007655D5">
      <w:pPr>
        <w:jc w:val="both"/>
        <w:rPr>
          <w:rFonts w:ascii="Arial" w:hAnsi="Arial" w:cs="Arial"/>
          <w:color w:val="000000"/>
          <w:sz w:val="22"/>
          <w:szCs w:val="22"/>
        </w:rPr>
      </w:pPr>
      <w:r>
        <w:tab/>
      </w:r>
      <w:r>
        <w:tab/>
      </w:r>
      <w:r>
        <w:tab/>
      </w:r>
      <w:r>
        <w:tab/>
      </w:r>
      <w:r>
        <w:tab/>
      </w:r>
      <w:r>
        <w:tab/>
      </w:r>
      <w:r>
        <w:tab/>
      </w:r>
      <w:r>
        <w:rPr>
          <w:rFonts w:ascii="Arial" w:hAnsi="Arial"/>
          <w:color w:val="000000"/>
          <w:sz w:val="22"/>
        </w:rPr>
        <w:t>_________________________</w:t>
      </w:r>
    </w:p>
    <w:p w14:paraId="0E19B121" w14:textId="4EB24446" w:rsidR="009B59C9" w:rsidRPr="00196434" w:rsidRDefault="007655D5" w:rsidP="007655D5">
      <w:pPr>
        <w:jc w:val="both"/>
        <w:rPr>
          <w:rFonts w:ascii="Arial" w:hAnsi="Arial" w:cs="Arial"/>
          <w:color w:val="000000"/>
          <w:sz w:val="22"/>
          <w:szCs w:val="22"/>
        </w:rPr>
      </w:pPr>
      <w:r>
        <w:tab/>
      </w:r>
      <w:r>
        <w:tab/>
      </w:r>
      <w:r>
        <w:tab/>
      </w:r>
      <w:r>
        <w:tab/>
      </w:r>
      <w:r>
        <w:tab/>
      </w:r>
      <w:r>
        <w:tab/>
      </w:r>
      <w:r>
        <w:tab/>
      </w:r>
      <w:r w:rsidR="009B59C9">
        <w:rPr>
          <w:rFonts w:ascii="Arial" w:hAnsi="Arial"/>
          <w:color w:val="000000"/>
          <w:sz w:val="22"/>
        </w:rPr>
        <w:t>Посада</w:t>
      </w:r>
    </w:p>
    <w:p w14:paraId="0AACF77D" w14:textId="77777777" w:rsidR="009B59C9" w:rsidRPr="00196434" w:rsidRDefault="009B59C9" w:rsidP="007655D5">
      <w:pPr>
        <w:jc w:val="both"/>
        <w:rPr>
          <w:rFonts w:ascii="Arial" w:hAnsi="Arial" w:cs="Arial"/>
          <w:color w:val="000000"/>
          <w:sz w:val="22"/>
          <w:szCs w:val="22"/>
        </w:rPr>
      </w:pPr>
    </w:p>
    <w:p w14:paraId="289F283D" w14:textId="77777777" w:rsidR="009B59C9" w:rsidRPr="00196434" w:rsidRDefault="009B59C9" w:rsidP="007655D5">
      <w:pPr>
        <w:jc w:val="both"/>
        <w:rPr>
          <w:rFonts w:ascii="Arial" w:hAnsi="Arial" w:cs="Arial"/>
          <w:color w:val="000000"/>
          <w:sz w:val="22"/>
          <w:szCs w:val="22"/>
        </w:rPr>
      </w:pPr>
      <w:r>
        <w:tab/>
      </w:r>
      <w:r>
        <w:tab/>
      </w:r>
      <w:r>
        <w:tab/>
      </w:r>
      <w:r>
        <w:tab/>
      </w:r>
      <w:r>
        <w:tab/>
      </w:r>
      <w:r>
        <w:tab/>
      </w:r>
      <w:r>
        <w:tab/>
      </w:r>
      <w:r>
        <w:rPr>
          <w:rFonts w:ascii="Arial" w:hAnsi="Arial"/>
          <w:color w:val="000000"/>
          <w:sz w:val="22"/>
        </w:rPr>
        <w:t>_________________________</w:t>
      </w:r>
    </w:p>
    <w:p w14:paraId="7CD77DFA" w14:textId="0DD7AE86" w:rsidR="009B59C9" w:rsidRPr="006A1EB6" w:rsidRDefault="007655D5" w:rsidP="007655D5">
      <w:pPr>
        <w:jc w:val="both"/>
        <w:rPr>
          <w:rFonts w:ascii="Arial" w:hAnsi="Arial" w:cs="Arial"/>
          <w:color w:val="000000"/>
          <w:sz w:val="22"/>
          <w:szCs w:val="22"/>
        </w:rPr>
      </w:pPr>
      <w:r>
        <w:tab/>
      </w:r>
      <w:r>
        <w:tab/>
      </w:r>
      <w:r>
        <w:tab/>
      </w:r>
      <w:r>
        <w:tab/>
      </w:r>
      <w:r>
        <w:tab/>
      </w:r>
      <w:r>
        <w:tab/>
      </w:r>
      <w:r>
        <w:tab/>
      </w:r>
      <w:r w:rsidR="009B59C9">
        <w:rPr>
          <w:rFonts w:ascii="Arial" w:hAnsi="Arial"/>
          <w:color w:val="000000"/>
          <w:sz w:val="22"/>
        </w:rPr>
        <w:t>Дата</w:t>
      </w:r>
    </w:p>
    <w:p w14:paraId="7208ED82" w14:textId="77777777" w:rsidR="009B59C9" w:rsidRPr="006A1EB6" w:rsidRDefault="009B59C9" w:rsidP="007655D5">
      <w:pPr>
        <w:suppressAutoHyphens w:val="0"/>
        <w:autoSpaceDE w:val="0"/>
        <w:autoSpaceDN w:val="0"/>
        <w:adjustRightInd w:val="0"/>
        <w:jc w:val="both"/>
        <w:rPr>
          <w:rFonts w:ascii="Arial" w:hAnsi="Arial" w:cs="Arial"/>
          <w:color w:val="000000"/>
          <w:sz w:val="22"/>
          <w:szCs w:val="22"/>
        </w:rPr>
      </w:pPr>
    </w:p>
    <w:p w14:paraId="5B8C80A5" w14:textId="77777777" w:rsidR="009B59C9" w:rsidRPr="00126EA9" w:rsidRDefault="009B59C9" w:rsidP="007655D5">
      <w:pPr>
        <w:jc w:val="both"/>
        <w:rPr>
          <w:rFonts w:ascii="Arial" w:hAnsi="Arial" w:cs="Arial"/>
          <w:sz w:val="22"/>
          <w:szCs w:val="22"/>
        </w:rPr>
      </w:pPr>
    </w:p>
    <w:p w14:paraId="383033DA" w14:textId="77777777" w:rsidR="009B59C9" w:rsidRPr="00126EA9" w:rsidRDefault="009B59C9" w:rsidP="007655D5">
      <w:pPr>
        <w:jc w:val="both"/>
        <w:rPr>
          <w:rFonts w:ascii="Arial" w:hAnsi="Arial" w:cs="Arial"/>
          <w:sz w:val="22"/>
          <w:szCs w:val="22"/>
        </w:rPr>
      </w:pPr>
    </w:p>
    <w:p w14:paraId="41622A47" w14:textId="7A1FC61B" w:rsidR="008B318E" w:rsidRDefault="008B318E" w:rsidP="007655D5">
      <w:pPr>
        <w:jc w:val="both"/>
      </w:pPr>
    </w:p>
    <w:sectPr w:rsidR="008B31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9C9"/>
    <w:rsid w:val="000C5F51"/>
    <w:rsid w:val="00430EFA"/>
    <w:rsid w:val="007655D5"/>
    <w:rsid w:val="008B318E"/>
    <w:rsid w:val="009B59C9"/>
    <w:rsid w:val="00F22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F5742"/>
  <w15:chartTrackingRefBased/>
  <w15:docId w15:val="{0CA6538E-693A-4DC3-94A8-C8009B716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uk-UA" w:bidi="uk-U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lt-N"/>
    <w:qFormat/>
    <w:rsid w:val="009B59C9"/>
    <w:pPr>
      <w:suppressAutoHyphens/>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
    <w:name w:val="Heading2"/>
    <w:basedOn w:val="Normal"/>
    <w:link w:val="Heading2Char"/>
    <w:qFormat/>
    <w:rsid w:val="009B59C9"/>
    <w:pPr>
      <w:suppressAutoHyphens w:val="0"/>
      <w:autoSpaceDE w:val="0"/>
      <w:autoSpaceDN w:val="0"/>
      <w:adjustRightInd w:val="0"/>
      <w:outlineLvl w:val="1"/>
    </w:pPr>
    <w:rPr>
      <w:rFonts w:ascii="Arial" w:hAnsi="Arial" w:cs="Arial"/>
      <w:b/>
      <w:bCs/>
      <w:color w:val="000000"/>
      <w:sz w:val="22"/>
      <w:szCs w:val="22"/>
    </w:rPr>
  </w:style>
  <w:style w:type="character" w:customStyle="1" w:styleId="Heading2Char">
    <w:name w:val="Heading2 Char"/>
    <w:link w:val="Heading2"/>
    <w:rsid w:val="009B59C9"/>
    <w:rPr>
      <w:rFonts w:ascii="Arial" w:eastAsia="Times New Roman" w:hAnsi="Arial" w:cs="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ject Grants and SAF" ma:contentTypeID="0x0101008DA58B5CA681664FAB24816C56F410850C00E25A273D5DA6FA4BA074523121A0741D" ma:contentTypeVersion="18" ma:contentTypeDescription="" ma:contentTypeScope="" ma:versionID="ff6a2e07f2315513d85ec5bc9a172764">
  <xsd:schema xmlns:xsd="http://www.w3.org/2001/XMLSchema" xmlns:xs="http://www.w3.org/2001/XMLSchema" xmlns:p="http://schemas.microsoft.com/office/2006/metadata/properties" xmlns:ns2="8d7096d6-fc66-4344-9e3f-2445529a09f6" xmlns:ns4="29826ef2-8e02-4868-be51-0e9775344dad" targetNamespace="http://schemas.microsoft.com/office/2006/metadata/properties" ma:root="true" ma:fieldsID="25adc766821ec7cb6e3117063db87632" ns2:_="" ns4:_="">
    <xsd:import namespace="8d7096d6-fc66-4344-9e3f-2445529a09f6"/>
    <xsd:import namespace="29826ef2-8e02-4868-be51-0e9775344dad"/>
    <xsd:element name="properties">
      <xsd:complexType>
        <xsd:sequence>
          <xsd:element name="documentManagement">
            <xsd:complexType>
              <xsd:all>
                <xsd:element ref="ns2:hbf0c10381aa4bd59932b5b7da857fed" minOccurs="0"/>
                <xsd:element ref="ns2:TaxCatchAll" minOccurs="0"/>
                <xsd:element ref="ns2:TaxCatchAllLabel"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8" nillable="true" ma:taxonomy="true" ma:internalName="hbf0c10381aa4bd59932b5b7da857fed" ma:taxonomyFieldName="Project_x0020_Document_x0020_Type" ma:displayName="Project Document Typ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8c683f7-d411-4863-bcd3-7e177c0ec335}" ma:internalName="TaxCatchAll" ma:showField="CatchAllData" ma:web="fd7e4e36-3153-4694-93d4-7fd74e23a87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8c683f7-d411-4863-bcd3-7e177c0ec335}" ma:internalName="TaxCatchAllLabel" ma:readOnly="true" ma:showField="CatchAllDataLabel" ma:web="fd7e4e36-3153-4694-93d4-7fd74e23a87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9826ef2-8e02-4868-be51-0e9775344dad"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22e118f-d533-465d-b5ca-7beed2256e09" ContentTypeId="0x0101008DA58B5CA681664FAB24816C56F410850C"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bf0c10381aa4bd59932b5b7da857fed xmlns="8d7096d6-fc66-4344-9e3f-2445529a09f6">
      <Terms xmlns="http://schemas.microsoft.com/office/infopath/2007/PartnerControls"/>
    </hbf0c10381aa4bd59932b5b7da857fed>
    <TaxCatchAll xmlns="8d7096d6-fc66-4344-9e3f-2445529a09f6"/>
  </documentManagement>
</p:properties>
</file>

<file path=customXml/itemProps1.xml><?xml version="1.0" encoding="utf-8"?>
<ds:datastoreItem xmlns:ds="http://schemas.openxmlformats.org/officeDocument/2006/customXml" ds:itemID="{84CB97E1-2A11-4BF5-AD66-D8495AD7EBB9}"/>
</file>

<file path=customXml/itemProps2.xml><?xml version="1.0" encoding="utf-8"?>
<ds:datastoreItem xmlns:ds="http://schemas.openxmlformats.org/officeDocument/2006/customXml" ds:itemID="{7F790884-B7F8-4187-9B1C-AE2A5D99236B}"/>
</file>

<file path=customXml/itemProps3.xml><?xml version="1.0" encoding="utf-8"?>
<ds:datastoreItem xmlns:ds="http://schemas.openxmlformats.org/officeDocument/2006/customXml" ds:itemID="{59907FDD-A7F4-4060-B0C6-08C3F6D7E652}"/>
</file>

<file path=customXml/itemProps4.xml><?xml version="1.0" encoding="utf-8"?>
<ds:datastoreItem xmlns:ds="http://schemas.openxmlformats.org/officeDocument/2006/customXml" ds:itemID="{D2F18EF0-D336-4F47-8F16-708F9C51EA5B}"/>
</file>

<file path=docProps/app.xml><?xml version="1.0" encoding="utf-8"?>
<Properties xmlns="http://schemas.openxmlformats.org/officeDocument/2006/extended-properties" xmlns:vt="http://schemas.openxmlformats.org/officeDocument/2006/docPropsVTypes">
  <Template>Normal</Template>
  <TotalTime>4</TotalTime>
  <Pages>3</Pages>
  <Words>855</Words>
  <Characters>4876</Characters>
  <Application>Microsoft Office Word</Application>
  <DocSecurity>0</DocSecurity>
  <Lines>40</Lines>
  <Paragraphs>11</Paragraphs>
  <ScaleCrop>false</ScaleCrop>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Romanenko</dc:creator>
  <cp:keywords/>
  <dc:description/>
  <cp:lastModifiedBy>Nelia Laiko</cp:lastModifiedBy>
  <cp:revision>4</cp:revision>
  <dcterms:created xsi:type="dcterms:W3CDTF">2020-02-03T21:30:00Z</dcterms:created>
  <dcterms:modified xsi:type="dcterms:W3CDTF">2020-02-10T14:48:00Z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0x0101008DA58B5CA681664FAB24816C56F410850C00E25A273D5DA6FA4BA074523121A0741D</vt:lpwstr>
  </property>
  <property fmtid="{D5CDD505-2E9C-101B-9397-08002B2CF9AE}" pid="3" name="Project Document Type">
    <vt:lpwstr/>
  </property>
</Properties>
</file>