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Конкурс на </w:t>
      </w:r>
      <w:r>
        <w:rPr>
          <w:b/>
          <w:bCs/>
          <w:sz w:val="28"/>
          <w:szCs w:val="28"/>
          <w:lang w:val="uk-UA"/>
        </w:rPr>
        <w:t>отримання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міні</w:t>
      </w:r>
      <w:r>
        <w:rPr>
          <w:b/>
          <w:bCs/>
          <w:sz w:val="28"/>
          <w:szCs w:val="28"/>
          <w:lang w:val="uk-UA"/>
        </w:rPr>
        <w:t>-грант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в в рамках культурно-просв</w:t>
      </w:r>
      <w:r>
        <w:rPr>
          <w:b/>
          <w:bCs/>
          <w:sz w:val="28"/>
          <w:szCs w:val="28"/>
          <w:lang w:val="uk-UA"/>
        </w:rPr>
        <w:t>ітницького</w:t>
      </w:r>
      <w:r>
        <w:rPr>
          <w:b/>
          <w:bCs/>
          <w:sz w:val="28"/>
          <w:szCs w:val="28"/>
          <w:lang w:val="uk-UA"/>
        </w:rPr>
        <w:t xml:space="preserve"> проект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ХУМРА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Напрямок</w:t>
      </w:r>
      <w:r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Освіта</w:t>
      </w:r>
      <w:r>
        <w:rPr>
          <w:b/>
          <w:bCs/>
          <w:sz w:val="28"/>
          <w:szCs w:val="28"/>
          <w:lang w:val="uk-UA"/>
        </w:rPr>
        <w:t>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bookmarkStart w:id="0" w:name="result_box"/>
      <w:bookmarkEnd w:id="0"/>
      <w:r>
        <w:rPr>
          <w:i/>
          <w:iCs/>
          <w:lang w:val="uk-UA"/>
        </w:rPr>
        <w:t>Оголошується конкурс міні-грантів на реалізацію освітніх програм у рамках проекту «Х</w:t>
      </w:r>
      <w:r>
        <w:rPr>
          <w:i/>
          <w:iCs/>
          <w:lang w:val="uk-UA"/>
        </w:rPr>
        <w:t>УМРА</w:t>
      </w:r>
      <w:r>
        <w:rPr>
          <w:i/>
          <w:iCs/>
          <w:lang w:val="uk-UA"/>
        </w:rPr>
        <w:t xml:space="preserve"> - історії про права людини». Конкурс </w:t>
      </w:r>
      <w:r>
        <w:rPr>
          <w:i/>
          <w:iCs/>
          <w:lang w:val="uk-UA"/>
        </w:rPr>
        <w:t>спрямований</w:t>
      </w:r>
      <w:r>
        <w:rPr>
          <w:i/>
          <w:iCs/>
          <w:lang w:val="uk-UA"/>
        </w:rPr>
        <w:t xml:space="preserve"> на розвиток і зміцнення освіти в області прав людини, стимулювання </w:t>
      </w:r>
      <w:r>
        <w:rPr>
          <w:i/>
          <w:iCs/>
          <w:lang w:val="uk-UA"/>
        </w:rPr>
        <w:t>викладачів та тренерів</w:t>
      </w:r>
      <w:r>
        <w:rPr>
          <w:i/>
          <w:iCs/>
          <w:lang w:val="uk-UA"/>
        </w:rPr>
        <w:t xml:space="preserve"> в області прав людини </w:t>
      </w:r>
      <w:r>
        <w:rPr>
          <w:i/>
          <w:iCs/>
          <w:lang w:val="uk-UA"/>
        </w:rPr>
        <w:t>до</w:t>
      </w:r>
      <w:r>
        <w:rPr>
          <w:i/>
          <w:iCs/>
          <w:lang w:val="uk-UA"/>
        </w:rPr>
        <w:t xml:space="preserve"> використання інноваційних інструментів, професійної та непрофесійної анімації, а також підвищення зацікавленості вчителів і співробітників різних освітніх установ </w:t>
      </w:r>
      <w:r>
        <w:rPr>
          <w:i/>
          <w:iCs/>
          <w:lang w:val="uk-UA"/>
        </w:rPr>
        <w:t>у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тематиці </w:t>
      </w:r>
      <w:r>
        <w:rPr>
          <w:i/>
          <w:iCs/>
          <w:lang w:val="uk-UA"/>
        </w:rPr>
        <w:t>п</w:t>
      </w:r>
      <w:r>
        <w:rPr>
          <w:i/>
          <w:iCs/>
          <w:lang w:val="uk-UA"/>
        </w:rPr>
        <w:t>рав людини.</w:t>
      </w:r>
    </w:p>
    <w:p>
      <w:pPr>
        <w:pStyle w:val="Normal"/>
        <w:jc w:val="both"/>
        <w:rPr>
          <w:lang w:val="uk-UA"/>
        </w:rPr>
      </w:pPr>
      <w:r>
        <w:rPr>
          <w:i/>
          <w:iCs/>
          <w:lang w:val="uk-UA"/>
        </w:rPr>
        <w:t xml:space="preserve">Міні-гранти виділяються на розробку і реалізацію навчальних програм, серії занять (не менше 3 занять) на тему прав людини з використанням анімації проекту ХУМРА. </w:t>
      </w:r>
    </w:p>
    <w:p>
      <w:pPr>
        <w:pStyle w:val="Normal"/>
        <w:jc w:val="center"/>
        <w:rPr>
          <w:lang w:val="uk-UA"/>
        </w:rPr>
      </w:pPr>
      <w:r>
        <w:rPr>
          <w:b/>
          <w:iCs/>
          <w:lang w:val="uk-UA"/>
        </w:rPr>
        <w:t>РЕГЛАМЕНТ</w:t>
      </w:r>
    </w:p>
    <w:p>
      <w:pPr>
        <w:pStyle w:val="Normal"/>
        <w:jc w:val="center"/>
        <w:rPr>
          <w:b/>
          <w:b/>
          <w:iCs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b/>
          <w:i/>
          <w:u w:val="single"/>
          <w:lang w:val="uk-UA"/>
        </w:rPr>
        <w:t>Регіони дії конкурсу:</w:t>
      </w:r>
      <w:r>
        <w:rPr>
          <w:lang w:val="uk-UA"/>
        </w:rPr>
        <w:t xml:space="preserve"> Росія, Білорусь, Грузія, Україна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u w:val="single"/>
          <w:lang w:val="uk-UA"/>
        </w:rPr>
      </w:pPr>
      <w:r>
        <w:rPr>
          <w:b/>
          <w:i/>
          <w:u w:val="single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b/>
          <w:i/>
          <w:u w:val="single"/>
          <w:lang w:val="uk-UA"/>
        </w:rPr>
        <w:t>Загальний грантовий фонд конкурсу</w:t>
      </w:r>
      <w:r>
        <w:rPr>
          <w:lang w:val="uk-UA"/>
        </w:rPr>
        <w:t xml:space="preserve">: </w:t>
      </w:r>
      <w:r>
        <w:rPr>
          <w:lang w:val="uk-UA"/>
        </w:rPr>
        <w:t>3</w:t>
      </w:r>
      <w:r>
        <w:rPr>
          <w:lang w:val="uk-UA"/>
        </w:rPr>
        <w:t xml:space="preserve"> 000 €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Сума </w:t>
      </w:r>
      <w:r>
        <w:rPr>
          <w:lang w:val="uk-UA"/>
        </w:rPr>
        <w:t>міні-гранту -</w:t>
      </w:r>
      <w:r>
        <w:rPr>
          <w:lang w:val="uk-UA"/>
        </w:rPr>
        <w:t xml:space="preserve"> до 500 €.</w:t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 w:color="000000"/>
          <w:lang w:val="uk-UA"/>
        </w:rPr>
        <w:t>До участі запрошуються</w:t>
      </w:r>
      <w:r>
        <w:rPr>
          <w:b/>
          <w:bCs/>
          <w:i/>
          <w:iCs/>
          <w:u w:val="single" w:color="000000"/>
          <w:lang w:val="uk-UA"/>
        </w:rPr>
        <w:t>: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●</w:t>
      </w:r>
      <w:r>
        <w:rPr>
          <w:lang w:val="uk-UA"/>
        </w:rPr>
        <w:tab/>
        <w:t xml:space="preserve">Учасники </w:t>
      </w:r>
      <w:r>
        <w:rPr>
          <w:lang w:val="uk-UA"/>
        </w:rPr>
        <w:t>мережі</w:t>
      </w:r>
      <w:r>
        <w:rPr>
          <w:lang w:val="uk-UA"/>
        </w:rPr>
        <w:t xml:space="preserve"> </w:t>
      </w:r>
      <w:r>
        <w:rPr>
          <w:lang w:val="uk-UA"/>
        </w:rPr>
        <w:t>едукаторів</w:t>
      </w:r>
      <w:r>
        <w:rPr>
          <w:lang w:val="uk-UA"/>
        </w:rPr>
        <w:t xml:space="preserve"> / </w:t>
      </w:r>
      <w:r>
        <w:rPr>
          <w:lang w:val="uk-UA"/>
        </w:rPr>
        <w:t xml:space="preserve">мережі партнерів </w:t>
      </w:r>
      <w:r>
        <w:rPr>
          <w:lang w:val="uk-UA"/>
        </w:rPr>
        <w:t>проект</w:t>
      </w:r>
      <w:r>
        <w:rPr>
          <w:lang w:val="uk-UA"/>
        </w:rPr>
        <w:t>у</w:t>
      </w:r>
      <w:r>
        <w:rPr>
          <w:lang w:val="uk-UA"/>
        </w:rPr>
        <w:t xml:space="preserve"> ХУМРА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●</w:t>
      </w:r>
      <w:r>
        <w:rPr>
          <w:lang w:val="uk-UA"/>
        </w:rPr>
        <w:tab/>
      </w:r>
      <w:r>
        <w:rPr>
          <w:lang w:val="uk-UA"/>
        </w:rPr>
        <w:t>Громадські активісти, зацікавлені у просвітницькій роботі у сфері прав людини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●</w:t>
      </w:r>
      <w:r>
        <w:rPr>
          <w:lang w:val="uk-UA"/>
        </w:rPr>
        <w:tab/>
        <w:t xml:space="preserve">Педагоги, </w:t>
      </w:r>
      <w:r>
        <w:rPr>
          <w:lang w:val="uk-UA"/>
        </w:rPr>
        <w:t>що мають досвід роботи за тематикою</w:t>
      </w:r>
      <w:r>
        <w:rPr>
          <w:lang w:val="uk-UA"/>
        </w:rPr>
        <w:t xml:space="preserve"> прав </w:t>
      </w:r>
      <w:r>
        <w:rPr>
          <w:lang w:val="uk-UA"/>
        </w:rPr>
        <w:t xml:space="preserve">людини чи викладання суспільно-правових </w:t>
      </w:r>
      <w:r>
        <w:rPr>
          <w:lang w:val="uk-UA"/>
        </w:rPr>
        <w:t>дисципл</w:t>
      </w:r>
      <w:r>
        <w:rPr>
          <w:lang w:val="uk-UA"/>
        </w:rPr>
        <w:t>і</w:t>
      </w:r>
      <w:r>
        <w:rPr>
          <w:lang w:val="uk-UA"/>
        </w:rPr>
        <w:t>н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●</w:t>
      </w:r>
      <w:r>
        <w:rPr>
          <w:lang w:val="uk-UA"/>
        </w:rPr>
        <w:tab/>
      </w:r>
      <w:r>
        <w:rPr>
          <w:lang w:val="uk-UA"/>
        </w:rPr>
        <w:t>Співробітники та волонтери громадських організацій</w:t>
      </w:r>
      <w:r>
        <w:rPr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●</w:t>
      </w:r>
      <w:r>
        <w:rPr>
          <w:lang w:val="uk-UA"/>
        </w:rPr>
        <w:tab/>
      </w:r>
      <w:r>
        <w:rPr>
          <w:lang w:val="uk-UA"/>
        </w:rPr>
        <w:t>Співробітники державних установ культури та освіти</w:t>
      </w:r>
      <w:r>
        <w:rPr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 w:color="000000"/>
          <w:lang w:val="uk-UA"/>
        </w:rPr>
        <w:t>Вимоги до заявок та заявників: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uk-UA"/>
        </w:rPr>
      </w:pPr>
      <w:r>
        <w:rPr>
          <w:lang w:val="uk-UA"/>
        </w:rPr>
        <w:t>Учбова</w:t>
      </w:r>
      <w:r>
        <w:rPr>
          <w:lang w:val="uk-UA"/>
        </w:rPr>
        <w:t xml:space="preserve"> програма/сер</w:t>
      </w:r>
      <w:r>
        <w:rPr>
          <w:lang w:val="uk-UA"/>
        </w:rPr>
        <w:t>і</w:t>
      </w:r>
      <w:r>
        <w:rPr>
          <w:lang w:val="uk-UA"/>
        </w:rPr>
        <w:t xml:space="preserve">я </w:t>
      </w:r>
      <w:r>
        <w:rPr>
          <w:lang w:val="uk-UA"/>
        </w:rPr>
        <w:t>заходів</w:t>
      </w:r>
      <w:r>
        <w:rPr>
          <w:lang w:val="uk-UA"/>
        </w:rPr>
        <w:t xml:space="preserve"> </w:t>
      </w:r>
      <w:r>
        <w:rPr>
          <w:lang w:val="uk-UA"/>
        </w:rPr>
        <w:t>має бути орієнтована:</w:t>
      </w:r>
      <w:r>
        <w:rPr>
          <w:lang w:val="uk-UA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або</w:t>
      </w:r>
      <w:r>
        <w:rPr>
          <w:lang w:val="uk-UA"/>
        </w:rPr>
        <w:t xml:space="preserve"> на одну з </w:t>
      </w:r>
      <w:r>
        <w:rPr>
          <w:lang w:val="uk-UA"/>
        </w:rPr>
        <w:t>наступних</w:t>
      </w:r>
      <w:r>
        <w:rPr>
          <w:lang w:val="uk-UA"/>
        </w:rPr>
        <w:t xml:space="preserve"> </w:t>
      </w:r>
      <w:r>
        <w:rPr>
          <w:lang w:val="uk-UA"/>
        </w:rPr>
        <w:t>вікових</w:t>
      </w:r>
      <w:r>
        <w:rPr>
          <w:lang w:val="uk-UA"/>
        </w:rPr>
        <w:t xml:space="preserve"> груп: </w:t>
      </w:r>
      <w:r>
        <w:rPr>
          <w:i/>
          <w:iCs/>
          <w:lang w:val="uk-UA"/>
        </w:rPr>
        <w:t>підлітки та молодь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або</w:t>
      </w:r>
      <w:r>
        <w:rPr>
          <w:lang w:val="uk-UA"/>
        </w:rPr>
        <w:t xml:space="preserve"> на одну з </w:t>
      </w:r>
      <w:r>
        <w:rPr>
          <w:lang w:val="uk-UA"/>
        </w:rPr>
        <w:t>наступних</w:t>
      </w:r>
      <w:r>
        <w:rPr>
          <w:lang w:val="uk-UA"/>
        </w:rPr>
        <w:t xml:space="preserve"> ц</w:t>
      </w:r>
      <w:r>
        <w:rPr>
          <w:lang w:val="uk-UA"/>
        </w:rPr>
        <w:t>і</w:t>
      </w:r>
      <w:r>
        <w:rPr>
          <w:lang w:val="uk-UA"/>
        </w:rPr>
        <w:t>л</w:t>
      </w:r>
      <w:r>
        <w:rPr>
          <w:lang w:val="uk-UA"/>
        </w:rPr>
        <w:t>ьови</w:t>
      </w:r>
      <w:r>
        <w:rPr>
          <w:lang w:val="uk-UA"/>
        </w:rPr>
        <w:t xml:space="preserve">х груп: </w:t>
      </w:r>
      <w:r>
        <w:rPr>
          <w:i/>
          <w:iCs/>
          <w:lang w:val="uk-UA"/>
        </w:rPr>
        <w:t>старшокласники та студенти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i/>
          <w:i/>
          <w:iCs/>
        </w:rPr>
      </w:pPr>
      <w:r>
        <w:rPr>
          <w:lang w:val="uk-UA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uk-UA"/>
        </w:rPr>
        <w:t>Заявник повинен мати вихід на цільову аудиторію заявленої учбової програми. Бажана наявність  досвіду роботи з заявленою цільовою аудиторією.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uk-UA"/>
        </w:rPr>
        <w:t xml:space="preserve">Формат </w:t>
      </w:r>
      <w:r>
        <w:rPr>
          <w:lang w:val="uk-UA"/>
        </w:rPr>
        <w:t xml:space="preserve">учбової програми/серії занять може бути різним, в тому числі комбінованим: </w:t>
      </w:r>
      <w:r>
        <w:rPr>
          <w:lang w:val="uk-UA"/>
        </w:rPr>
        <w:t xml:space="preserve">  </w:t>
      </w:r>
      <w:r>
        <w:rPr>
          <w:i/>
          <w:iCs/>
          <w:lang w:val="uk-UA"/>
        </w:rPr>
        <w:t>дискусії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та</w:t>
      </w:r>
      <w:r>
        <w:rPr>
          <w:i/>
          <w:iCs/>
          <w:lang w:val="uk-UA"/>
        </w:rPr>
        <w:t xml:space="preserve"> дебат</w:t>
      </w:r>
      <w:r>
        <w:rPr>
          <w:i/>
          <w:iCs/>
          <w:lang w:val="uk-UA"/>
        </w:rPr>
        <w:t>и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навколо</w:t>
      </w:r>
      <w:r>
        <w:rPr>
          <w:i/>
          <w:iCs/>
          <w:lang w:val="uk-UA"/>
        </w:rPr>
        <w:t xml:space="preserve"> в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 xml:space="preserve">део, </w:t>
      </w:r>
      <w:r>
        <w:rPr>
          <w:i/>
          <w:iCs/>
          <w:lang w:val="uk-UA"/>
        </w:rPr>
        <w:t>інтерактивні</w:t>
      </w:r>
      <w:r>
        <w:rPr>
          <w:i/>
          <w:iCs/>
          <w:lang w:val="uk-UA"/>
        </w:rPr>
        <w:t xml:space="preserve"> уроки </w:t>
      </w:r>
      <w:r>
        <w:rPr>
          <w:i/>
          <w:iCs/>
          <w:lang w:val="uk-UA"/>
        </w:rPr>
        <w:t xml:space="preserve">та </w:t>
      </w:r>
      <w:r>
        <w:rPr>
          <w:i/>
          <w:iCs/>
          <w:lang w:val="uk-UA"/>
        </w:rPr>
        <w:t>лекц</w:t>
      </w:r>
      <w:r>
        <w:rPr>
          <w:i/>
          <w:iCs/>
          <w:lang w:val="uk-UA"/>
        </w:rPr>
        <w:t>ії</w:t>
      </w:r>
      <w:r>
        <w:rPr>
          <w:i/>
          <w:iCs/>
          <w:lang w:val="uk-UA"/>
        </w:rPr>
        <w:t>, трен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>нги, сем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>нар</w:t>
      </w:r>
      <w:r>
        <w:rPr>
          <w:i/>
          <w:iCs/>
          <w:lang w:val="uk-UA"/>
        </w:rPr>
        <w:t>и</w:t>
      </w:r>
      <w:r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>гр</w:t>
      </w:r>
      <w:r>
        <w:rPr>
          <w:i/>
          <w:iCs/>
          <w:lang w:val="uk-UA"/>
        </w:rPr>
        <w:t>и</w:t>
      </w:r>
      <w:r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вправи і т.п.</w:t>
      </w:r>
      <w:r>
        <w:rPr>
          <w:lang w:val="uk-UA"/>
        </w:rPr>
        <w:t xml:space="preserve">  </w:t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lang w:val="uk-UA"/>
        </w:rPr>
        <w:t>Використання</w:t>
      </w:r>
      <w:r>
        <w:rPr>
          <w:lang w:val="uk-UA"/>
        </w:rPr>
        <w:t xml:space="preserve"> ан</w:t>
      </w:r>
      <w:r>
        <w:rPr>
          <w:lang w:val="uk-UA"/>
        </w:rPr>
        <w:t>і</w:t>
      </w:r>
      <w:r>
        <w:rPr>
          <w:lang w:val="uk-UA"/>
        </w:rPr>
        <w:t>мац</w:t>
      </w:r>
      <w:r>
        <w:rPr>
          <w:lang w:val="uk-UA"/>
        </w:rPr>
        <w:t>ії</w:t>
      </w:r>
      <w:r>
        <w:rPr>
          <w:lang w:val="uk-UA"/>
        </w:rPr>
        <w:t xml:space="preserve"> ХУМРА при </w:t>
      </w:r>
      <w:r>
        <w:rPr>
          <w:lang w:val="uk-UA"/>
        </w:rPr>
        <w:t>цьому є обов'язковим</w:t>
      </w:r>
      <w:r>
        <w:rPr>
          <w:lang w:val="uk-UA"/>
        </w:rPr>
        <w:t xml:space="preserve"> (</w:t>
      </w:r>
      <w:r>
        <w:rPr>
          <w:lang w:val="uk-UA"/>
        </w:rPr>
        <w:t>див.</w:t>
      </w:r>
      <w:r>
        <w:rPr>
          <w:lang w:val="uk-UA"/>
        </w:rPr>
        <w:t xml:space="preserve"> на сайт</w:t>
      </w:r>
      <w:r>
        <w:rPr>
          <w:lang w:val="uk-UA"/>
        </w:rPr>
        <w:t>і</w:t>
      </w:r>
      <w:r>
        <w:rPr>
          <w:lang w:val="uk-UA"/>
        </w:rPr>
        <w:t xml:space="preserve"> </w:t>
      </w:r>
      <w:hyperlink r:id="rId2">
        <w:r>
          <w:rPr>
            <w:rStyle w:val="Hyperlink0"/>
            <w:lang w:val="uk-UA"/>
          </w:rPr>
          <w:t>www</w:t>
        </w:r>
        <w:r>
          <w:rPr>
            <w:rStyle w:val="Link"/>
            <w:lang w:val="uk-UA"/>
          </w:rPr>
          <w:t>.humra.org</w:t>
        </w:r>
      </w:hyperlink>
      <w:r>
        <w:rPr>
          <w:lang w:val="uk-UA"/>
        </w:rPr>
        <w:t xml:space="preserve"> ).</w:t>
      </w:r>
    </w:p>
    <w:p>
      <w:pPr>
        <w:pStyle w:val="ListParagraph"/>
        <w:numPr>
          <w:ilvl w:val="0"/>
          <w:numId w:val="0"/>
        </w:numPr>
        <w:jc w:val="both"/>
        <w:rPr>
          <w:lang w:val="uk-UA"/>
        </w:rPr>
      </w:pPr>
      <w:r>
        <w:rPr>
          <w:lang w:val="uk-UA"/>
        </w:rPr>
        <w:t>Включення</w:t>
      </w:r>
      <w:r>
        <w:rPr>
          <w:lang w:val="uk-UA"/>
        </w:rPr>
        <w:t xml:space="preserve"> </w:t>
      </w:r>
      <w:r>
        <w:rPr>
          <w:lang w:val="uk-UA"/>
        </w:rPr>
        <w:t>кількох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анімаційних фільмів</w:t>
      </w:r>
      <w:r>
        <w:rPr>
          <w:lang w:val="uk-UA"/>
        </w:rPr>
        <w:t xml:space="preserve"> ХУМРА в учб</w:t>
      </w:r>
      <w:r>
        <w:rPr>
          <w:lang w:val="uk-UA"/>
        </w:rPr>
        <w:t>ову</w:t>
      </w:r>
      <w:r>
        <w:rPr>
          <w:lang w:val="uk-UA"/>
        </w:rPr>
        <w:t xml:space="preserve"> программу </w:t>
      </w:r>
      <w:r>
        <w:rPr>
          <w:lang w:val="uk-UA"/>
        </w:rPr>
        <w:t>буде перевагою</w:t>
      </w:r>
      <w:r>
        <w:rPr>
          <w:lang w:val="uk-UA"/>
        </w:rPr>
        <w:t xml:space="preserve">. </w:t>
      </w:r>
    </w:p>
    <w:p>
      <w:pPr>
        <w:pStyle w:val="ListParagraph"/>
        <w:numPr>
          <w:ilvl w:val="0"/>
          <w:numId w:val="0"/>
        </w:numPr>
        <w:jc w:val="both"/>
        <w:rPr>
          <w:lang w:val="uk-UA"/>
        </w:rPr>
      </w:pPr>
      <w:r>
        <w:rPr>
          <w:lang w:val="uk-UA"/>
        </w:rPr>
        <w:t>При подач</w:t>
      </w:r>
      <w:r>
        <w:rPr>
          <w:lang w:val="uk-UA"/>
        </w:rPr>
        <w:t>і</w:t>
      </w:r>
      <w:r>
        <w:rPr>
          <w:lang w:val="uk-UA"/>
        </w:rPr>
        <w:t xml:space="preserve"> заявки на сер</w:t>
      </w:r>
      <w:r>
        <w:rPr>
          <w:lang w:val="uk-UA"/>
        </w:rPr>
        <w:t xml:space="preserve">ію заходів має бути запропоновано </w:t>
      </w:r>
      <w:r>
        <w:rPr>
          <w:b/>
          <w:bCs/>
          <w:lang w:val="uk-UA"/>
        </w:rPr>
        <w:t>не менш, ніж 3 заняття.</w:t>
      </w:r>
      <w:r>
        <w:rPr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Тема конкурс</w:t>
      </w:r>
      <w:r>
        <w:rPr>
          <w:lang w:val="uk-UA"/>
        </w:rPr>
        <w:t>у</w:t>
      </w:r>
      <w:r>
        <w:rPr>
          <w:lang w:val="uk-UA"/>
        </w:rPr>
        <w:t xml:space="preserve"> «Права </w:t>
      </w:r>
      <w:r>
        <w:rPr>
          <w:lang w:val="uk-UA"/>
        </w:rPr>
        <w:t>людини</w:t>
      </w:r>
      <w:r>
        <w:rPr>
          <w:lang w:val="uk-UA"/>
        </w:rPr>
        <w:t>» в контекст</w:t>
      </w:r>
      <w:r>
        <w:rPr>
          <w:lang w:val="uk-UA"/>
        </w:rPr>
        <w:t>і</w:t>
      </w:r>
      <w:r>
        <w:rPr>
          <w:lang w:val="uk-UA"/>
        </w:rPr>
        <w:t xml:space="preserve"> </w:t>
      </w:r>
      <w:r>
        <w:rPr>
          <w:lang w:val="uk-UA"/>
        </w:rPr>
        <w:t>змісту учбової програми/занять може включати як безпосередньо тему прав людини згідно загальноприйнятому  визначенню, так і більш широке коло тем, пов'язаних з демократією, розмаїттям та миротворчістю.</w:t>
      </w:r>
    </w:p>
    <w:p>
      <w:pPr>
        <w:pStyle w:val="ListParagraph"/>
        <w:jc w:val="both"/>
        <w:rPr>
          <w:lang w:val="uk-UA"/>
        </w:rPr>
      </w:pPr>
      <w:r>
        <w:rPr>
          <w:b/>
          <w:bCs/>
          <w:lang w:val="uk-UA"/>
        </w:rPr>
        <w:t>Перевагу при відборі заявок буде віддано програмам, за якими проведено хоча б один пробний захід.</w:t>
      </w:r>
      <w:r>
        <w:rPr>
          <w:b/>
          <w:bCs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u w:val="none" w:color="000000"/>
          <w:lang w:val="uk-UA"/>
        </w:rPr>
      </w:pPr>
      <w:r>
        <w:rPr>
          <w:b w:val="false"/>
          <w:bCs w:val="false"/>
          <w:i w:val="false"/>
          <w:iCs w:val="false"/>
          <w:u w:val="none" w:color="000000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Вимоги до оформлення заявок: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- Мова заявки в залежності від країни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- Особистий підпис заявника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- Актуальні контактні дані заявника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b/>
          <w:i/>
          <w:u w:val="single"/>
          <w:lang w:val="uk-UA"/>
        </w:rPr>
        <w:t>Критерії відбору заявок:</w:t>
      </w:r>
    </w:p>
    <w:p>
      <w:pPr>
        <w:pStyle w:val="Style17"/>
        <w:spacing w:lineRule="auto" w:line="240" w:before="0" w:after="0"/>
        <w:jc w:val="both"/>
        <w:rPr>
          <w:lang w:val="uk-UA"/>
        </w:rPr>
      </w:pPr>
      <w:r>
        <w:rPr>
          <w:b w:val="false"/>
          <w:bCs w:val="false"/>
          <w:i w:val="false"/>
          <w:iCs w:val="false"/>
          <w:u w:val="none"/>
          <w:lang w:val="uk-UA"/>
        </w:rPr>
        <w:t>- Виконання зазначених вище конкурсних умов</w:t>
      </w:r>
    </w:p>
    <w:p>
      <w:pPr>
        <w:pStyle w:val="Style17"/>
        <w:spacing w:lineRule="auto" w:line="240" w:before="0" w:after="0"/>
        <w:jc w:val="both"/>
        <w:rPr>
          <w:lang w:val="uk-UA"/>
        </w:rPr>
      </w:pPr>
      <w:r>
        <w:rPr>
          <w:b w:val="false"/>
          <w:bCs w:val="false"/>
          <w:i w:val="false"/>
          <w:iCs w:val="false"/>
          <w:u w:val="none"/>
          <w:lang w:val="uk-UA"/>
        </w:rPr>
        <w:t xml:space="preserve">- Коректно заповнена заявка на участь </w:t>
      </w:r>
      <w:r>
        <w:rPr>
          <w:b w:val="false"/>
          <w:bCs w:val="false"/>
          <w:i w:val="false"/>
          <w:iCs w:val="false"/>
          <w:u w:val="none"/>
          <w:lang w:val="uk-UA"/>
        </w:rPr>
        <w:t>у</w:t>
      </w:r>
      <w:r>
        <w:rPr>
          <w:b w:val="false"/>
          <w:bCs w:val="false"/>
          <w:i w:val="false"/>
          <w:iCs w:val="false"/>
          <w:u w:val="none"/>
          <w:lang w:val="uk-UA"/>
        </w:rPr>
        <w:t xml:space="preserve"> конкурсі</w:t>
      </w:r>
    </w:p>
    <w:p>
      <w:pPr>
        <w:pStyle w:val="Style17"/>
        <w:spacing w:lineRule="auto" w:line="240" w:before="0" w:after="0"/>
        <w:jc w:val="both"/>
        <w:rPr>
          <w:lang w:val="uk-UA"/>
        </w:rPr>
      </w:pPr>
      <w:r>
        <w:rPr>
          <w:b w:val="false"/>
          <w:bCs w:val="false"/>
          <w:i w:val="false"/>
          <w:iCs w:val="false"/>
          <w:u w:val="none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u w:val="none"/>
          <w:lang w:val="uk-UA"/>
        </w:rPr>
        <w:t>Ч</w:t>
      </w:r>
      <w:r>
        <w:rPr>
          <w:b w:val="false"/>
          <w:bCs w:val="false"/>
          <w:i w:val="false"/>
          <w:iCs w:val="false"/>
          <w:u w:val="none"/>
          <w:lang w:val="uk-UA"/>
        </w:rPr>
        <w:t>ітке змістовне планування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i/>
          <w:iCs/>
          <w:u w:val="single" w:color="000000"/>
          <w:lang w:val="uk-UA"/>
        </w:rPr>
        <w:t>Примітка</w:t>
      </w:r>
      <w:r>
        <w:rPr>
          <w:b/>
          <w:bCs/>
          <w:i/>
          <w:iCs/>
          <w:u w:val="single" w:color="000000"/>
          <w:lang w:val="uk-UA"/>
        </w:rPr>
        <w:t>:</w:t>
      </w:r>
      <w:r>
        <w:rPr>
          <w:lang w:val="uk-UA"/>
        </w:rPr>
        <w:t xml:space="preserve"> </w:t>
      </w:r>
      <w:r>
        <w:rPr>
          <w:lang w:val="uk-UA"/>
        </w:rPr>
        <w:t>кошти з</w:t>
      </w:r>
      <w:r>
        <w:rPr>
          <w:lang w:val="uk-UA"/>
        </w:rPr>
        <w:t xml:space="preserve"> </w:t>
      </w:r>
      <w:r>
        <w:rPr>
          <w:lang w:val="uk-UA"/>
        </w:rPr>
        <w:t>міні</w:t>
      </w:r>
      <w:r>
        <w:rPr>
          <w:lang w:val="uk-UA"/>
        </w:rPr>
        <w:t>-грант</w:t>
      </w:r>
      <w:r>
        <w:rPr>
          <w:lang w:val="uk-UA"/>
        </w:rPr>
        <w:t xml:space="preserve">у можуть бути використані на гонорар, друк та придбання витратних матеріалів </w:t>
      </w:r>
      <w:r>
        <w:rPr>
          <w:lang w:val="uk-UA"/>
        </w:rPr>
        <w:t xml:space="preserve">(за </w:t>
      </w:r>
      <w:r>
        <w:rPr>
          <w:lang w:val="uk-UA"/>
        </w:rPr>
        <w:t>виключенням</w:t>
      </w:r>
      <w:r>
        <w:rPr>
          <w:lang w:val="uk-UA"/>
        </w:rPr>
        <w:t xml:space="preserve"> оргтехн</w:t>
      </w:r>
      <w:r>
        <w:rPr>
          <w:lang w:val="uk-UA"/>
        </w:rPr>
        <w:t>і</w:t>
      </w:r>
      <w:r>
        <w:rPr>
          <w:lang w:val="uk-UA"/>
        </w:rPr>
        <w:t xml:space="preserve">ки), </w:t>
      </w:r>
      <w:r>
        <w:rPr>
          <w:lang w:val="uk-UA"/>
        </w:rPr>
        <w:t>харчування, оренду приміщення чи техніки та подібних витрат, необхідних для реалізації проекту.</w:t>
      </w:r>
      <w:r>
        <w:rPr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b/>
          <w:bCs/>
          <w:i/>
          <w:iCs/>
          <w:u w:val="single" w:color="000000"/>
          <w:lang w:val="uk-UA"/>
        </w:rPr>
        <w:t>С</w:t>
      </w:r>
      <w:r>
        <w:rPr>
          <w:b/>
          <w:bCs/>
          <w:i/>
          <w:iCs/>
          <w:u w:val="single" w:color="000000"/>
          <w:lang w:val="uk-UA"/>
        </w:rPr>
        <w:t>т</w:t>
      </w:r>
      <w:r>
        <w:rPr>
          <w:b/>
          <w:bCs/>
          <w:i/>
          <w:iCs/>
          <w:u w:val="single" w:color="000000"/>
          <w:lang w:val="uk-UA"/>
        </w:rPr>
        <w:t>роки, порядок проведен</w:t>
      </w:r>
      <w:r>
        <w:rPr>
          <w:b/>
          <w:bCs/>
          <w:i/>
          <w:iCs/>
          <w:u w:val="single" w:color="000000"/>
          <w:lang w:val="uk-UA"/>
        </w:rPr>
        <w:t>н</w:t>
      </w:r>
      <w:r>
        <w:rPr>
          <w:b/>
          <w:bCs/>
          <w:i/>
          <w:iCs/>
          <w:u w:val="single" w:color="000000"/>
          <w:lang w:val="uk-UA"/>
        </w:rPr>
        <w:t xml:space="preserve">я </w:t>
      </w:r>
      <w:r>
        <w:rPr>
          <w:b/>
          <w:bCs/>
          <w:i/>
          <w:iCs/>
          <w:u w:val="single" w:color="000000"/>
          <w:lang w:val="uk-UA"/>
        </w:rPr>
        <w:t>та</w:t>
      </w:r>
      <w:r>
        <w:rPr>
          <w:b/>
          <w:bCs/>
          <w:i/>
          <w:iCs/>
          <w:u w:val="single" w:color="000000"/>
          <w:lang w:val="uk-UA"/>
        </w:rPr>
        <w:t xml:space="preserve"> реал</w:t>
      </w:r>
      <w:r>
        <w:rPr>
          <w:b/>
          <w:bCs/>
          <w:i/>
          <w:iCs/>
          <w:u w:val="single" w:color="000000"/>
          <w:lang w:val="uk-UA"/>
        </w:rPr>
        <w:t>і</w:t>
      </w:r>
      <w:r>
        <w:rPr>
          <w:b/>
          <w:bCs/>
          <w:i/>
          <w:iCs/>
          <w:u w:val="single" w:color="000000"/>
          <w:lang w:val="uk-UA"/>
        </w:rPr>
        <w:t>зац</w:t>
      </w:r>
      <w:r>
        <w:rPr>
          <w:b/>
          <w:bCs/>
          <w:i/>
          <w:iCs/>
          <w:u w:val="single" w:color="000000"/>
          <w:lang w:val="uk-UA"/>
        </w:rPr>
        <w:t>ії</w:t>
      </w:r>
      <w:r>
        <w:rPr>
          <w:b/>
          <w:bCs/>
          <w:i/>
          <w:iCs/>
          <w:u w:val="single" w:color="000000"/>
          <w:lang w:val="uk-UA"/>
        </w:rPr>
        <w:t xml:space="preserve"> конкурс</w:t>
      </w:r>
      <w:r>
        <w:rPr>
          <w:b/>
          <w:bCs/>
          <w:i/>
          <w:iCs/>
          <w:u w:val="single" w:color="000000"/>
          <w:lang w:val="uk-UA"/>
        </w:rPr>
        <w:t>у</w:t>
      </w:r>
      <w:r>
        <w:rPr>
          <w:b/>
          <w:bCs/>
          <w:i/>
          <w:iCs/>
          <w:u w:val="single" w:color="000000"/>
          <w:lang w:val="uk-UA"/>
        </w:rPr>
        <w:t>:</w:t>
      </w:r>
    </w:p>
    <w:p>
      <w:pPr>
        <w:pStyle w:val="Normal"/>
        <w:spacing w:lineRule="auto" w:line="240" w:before="0" w:after="120"/>
        <w:jc w:val="both"/>
        <w:rPr>
          <w:lang w:val="uk-UA"/>
        </w:rPr>
      </w:pPr>
      <w:r>
        <w:rPr>
          <w:u w:val="single" w:color="000000"/>
          <w:lang w:val="uk-UA"/>
        </w:rPr>
        <w:t>Е</w:t>
      </w:r>
      <w:r>
        <w:rPr>
          <w:u w:val="single" w:color="000000"/>
          <w:lang w:val="uk-UA"/>
        </w:rPr>
        <w:t xml:space="preserve">тап 1 </w:t>
      </w:r>
      <w:r>
        <w:rPr>
          <w:u w:val="single" w:color="000000"/>
          <w:lang w:val="uk-UA"/>
        </w:rPr>
        <w:t>Прийом</w:t>
      </w:r>
      <w:r>
        <w:rPr>
          <w:u w:val="single" w:color="000000"/>
          <w:lang w:val="uk-UA"/>
        </w:rPr>
        <w:t xml:space="preserve"> заявок (25 </w:t>
      </w:r>
      <w:r>
        <w:rPr>
          <w:u w:val="single" w:color="000000"/>
          <w:lang w:val="uk-UA"/>
        </w:rPr>
        <w:t>березня</w:t>
      </w:r>
      <w:r>
        <w:rPr>
          <w:u w:val="single" w:color="000000"/>
          <w:lang w:val="uk-UA"/>
        </w:rPr>
        <w:t xml:space="preserve"> - 25 </w:t>
      </w:r>
      <w:r>
        <w:rPr>
          <w:u w:val="single" w:color="000000"/>
          <w:lang w:val="uk-UA"/>
        </w:rPr>
        <w:t>травня</w:t>
      </w:r>
      <w:r>
        <w:rPr>
          <w:u w:val="single" w:color="000000"/>
          <w:lang w:val="uk-UA"/>
        </w:rPr>
        <w:t xml:space="preserve"> 2016):</w:t>
      </w:r>
      <w:r>
        <w:rPr>
          <w:lang w:val="uk-UA"/>
        </w:rPr>
        <w:t xml:space="preserve"> При</w:t>
      </w:r>
      <w:r>
        <w:rPr>
          <w:lang w:val="uk-UA"/>
        </w:rPr>
        <w:t>йо</w:t>
      </w:r>
      <w:r>
        <w:rPr>
          <w:lang w:val="uk-UA"/>
        </w:rPr>
        <w:t xml:space="preserve">м заявок </w:t>
      </w:r>
      <w:r>
        <w:rPr>
          <w:lang w:val="uk-UA"/>
        </w:rPr>
        <w:t>з описом учбової</w:t>
      </w:r>
      <w:r>
        <w:rPr>
          <w:lang w:val="uk-UA"/>
        </w:rPr>
        <w:t xml:space="preserve"> програм</w:t>
      </w:r>
      <w:r>
        <w:rPr>
          <w:lang w:val="uk-UA"/>
        </w:rPr>
        <w:t>и</w:t>
      </w:r>
      <w:r>
        <w:rPr>
          <w:lang w:val="uk-UA"/>
        </w:rPr>
        <w:t xml:space="preserve"> </w:t>
      </w:r>
      <w:r>
        <w:rPr>
          <w:lang w:val="uk-UA"/>
        </w:rPr>
        <w:t>та/або серії занять.</w:t>
      </w:r>
      <w:r>
        <w:rPr>
          <w:lang w:val="uk-UA"/>
        </w:rPr>
        <w:t xml:space="preserve"> Форма заявки </w:t>
      </w:r>
      <w:r>
        <w:rPr>
          <w:lang w:val="uk-UA"/>
        </w:rPr>
        <w:t>додається</w:t>
      </w:r>
      <w:r>
        <w:rPr>
          <w:lang w:val="uk-UA"/>
        </w:rPr>
        <w:t xml:space="preserve">. </w:t>
      </w:r>
    </w:p>
    <w:p>
      <w:pPr>
        <w:pStyle w:val="Normal"/>
        <w:spacing w:before="0" w:after="120"/>
        <w:jc w:val="both"/>
        <w:rPr>
          <w:lang w:val="uk-UA"/>
        </w:rPr>
      </w:pPr>
      <w:r>
        <w:rPr>
          <w:u w:val="single" w:color="000000"/>
          <w:lang w:val="uk-UA"/>
        </w:rPr>
        <w:t>Етап</w:t>
      </w:r>
      <w:r>
        <w:rPr>
          <w:u w:val="single" w:color="000000"/>
          <w:lang w:val="uk-UA"/>
        </w:rPr>
        <w:t xml:space="preserve"> 2 </w:t>
      </w:r>
      <w:r>
        <w:rPr>
          <w:u w:val="single" w:color="000000"/>
          <w:lang w:val="uk-UA"/>
        </w:rPr>
        <w:t>Відбір</w:t>
      </w:r>
      <w:r>
        <w:rPr>
          <w:u w:val="single" w:color="000000"/>
          <w:lang w:val="uk-UA"/>
        </w:rPr>
        <w:t xml:space="preserve"> заявок (26 </w:t>
      </w:r>
      <w:r>
        <w:rPr>
          <w:u w:val="single" w:color="000000"/>
          <w:lang w:val="uk-UA"/>
        </w:rPr>
        <w:t>травня</w:t>
      </w:r>
      <w:r>
        <w:rPr>
          <w:u w:val="single" w:color="000000"/>
          <w:lang w:val="uk-UA"/>
        </w:rPr>
        <w:t xml:space="preserve"> - 13 </w:t>
      </w:r>
      <w:r>
        <w:rPr>
          <w:u w:val="single" w:color="000000"/>
          <w:lang w:val="uk-UA"/>
        </w:rPr>
        <w:t>червня</w:t>
      </w:r>
      <w:r>
        <w:rPr>
          <w:u w:val="single" w:color="000000"/>
          <w:lang w:val="uk-UA"/>
        </w:rPr>
        <w:t xml:space="preserve"> 2016):</w:t>
      </w:r>
      <w:r>
        <w:rPr>
          <w:lang w:val="uk-UA"/>
        </w:rPr>
        <w:t xml:space="preserve"> </w:t>
      </w:r>
      <w:r>
        <w:rPr>
          <w:lang w:val="uk-UA"/>
        </w:rPr>
        <w:t>Відбір</w:t>
      </w:r>
      <w:r>
        <w:rPr>
          <w:lang w:val="uk-UA"/>
        </w:rPr>
        <w:t xml:space="preserve"> заявок для </w:t>
      </w:r>
      <w:r>
        <w:rPr>
          <w:lang w:val="uk-UA"/>
        </w:rPr>
        <w:t>фінансування</w:t>
      </w:r>
      <w:r>
        <w:rPr>
          <w:lang w:val="uk-UA"/>
        </w:rPr>
        <w:t xml:space="preserve"> </w:t>
      </w:r>
      <w:r>
        <w:rPr>
          <w:lang w:val="uk-UA"/>
        </w:rPr>
        <w:t>та оголошення переможців.</w:t>
      </w:r>
    </w:p>
    <w:p>
      <w:pPr>
        <w:pStyle w:val="Normal"/>
        <w:spacing w:before="0" w:after="120"/>
        <w:jc w:val="both"/>
        <w:rPr>
          <w:lang w:val="uk-UA"/>
        </w:rPr>
      </w:pPr>
      <w:r>
        <w:rPr>
          <w:u w:val="single" w:color="000000"/>
          <w:lang w:val="uk-UA"/>
        </w:rPr>
        <w:t>Етап</w:t>
      </w:r>
      <w:r>
        <w:rPr>
          <w:u w:val="single" w:color="000000"/>
          <w:lang w:val="uk-UA"/>
        </w:rPr>
        <w:t xml:space="preserve"> 3 Оформлен</w:t>
      </w:r>
      <w:r>
        <w:rPr>
          <w:u w:val="single" w:color="000000"/>
          <w:lang w:val="uk-UA"/>
        </w:rPr>
        <w:t>ня</w:t>
      </w:r>
      <w:r>
        <w:rPr>
          <w:u w:val="single" w:color="000000"/>
          <w:lang w:val="uk-UA"/>
        </w:rPr>
        <w:t xml:space="preserve"> документац</w:t>
      </w:r>
      <w:r>
        <w:rPr>
          <w:u w:val="single" w:color="000000"/>
          <w:lang w:val="uk-UA"/>
        </w:rPr>
        <w:t>ії</w:t>
      </w:r>
      <w:r>
        <w:rPr>
          <w:u w:val="single" w:color="000000"/>
          <w:lang w:val="uk-UA"/>
        </w:rPr>
        <w:t xml:space="preserve"> (14 </w:t>
      </w:r>
      <w:r>
        <w:rPr>
          <w:u w:val="single" w:color="000000"/>
          <w:lang w:val="uk-UA"/>
        </w:rPr>
        <w:t>червня</w:t>
      </w:r>
      <w:r>
        <w:rPr>
          <w:u w:val="single" w:color="000000"/>
          <w:lang w:val="uk-UA"/>
        </w:rPr>
        <w:t xml:space="preserve"> - 9 </w:t>
      </w:r>
      <w:r>
        <w:rPr>
          <w:u w:val="single" w:color="000000"/>
          <w:lang w:val="uk-UA"/>
        </w:rPr>
        <w:t>липня</w:t>
      </w:r>
      <w:r>
        <w:rPr>
          <w:u w:val="single" w:color="000000"/>
          <w:lang w:val="uk-UA"/>
        </w:rPr>
        <w:t xml:space="preserve"> 2016):</w:t>
      </w:r>
      <w:r>
        <w:rPr>
          <w:lang w:val="uk-UA"/>
        </w:rPr>
        <w:t xml:space="preserve"> </w:t>
      </w:r>
      <w:r>
        <w:rPr>
          <w:lang w:val="uk-UA"/>
        </w:rPr>
        <w:t>Формування та затвердження бюджетів і плану реалізації</w:t>
      </w:r>
      <w:r>
        <w:rPr>
          <w:lang w:val="uk-UA"/>
        </w:rPr>
        <w:t xml:space="preserve">, а </w:t>
      </w:r>
      <w:r>
        <w:rPr>
          <w:lang w:val="uk-UA"/>
        </w:rPr>
        <w:t>також</w:t>
      </w:r>
      <w:r>
        <w:rPr>
          <w:lang w:val="uk-UA"/>
        </w:rPr>
        <w:t xml:space="preserve"> офор</w:t>
      </w:r>
      <w:r>
        <w:rPr>
          <w:lang w:val="uk-UA"/>
        </w:rPr>
        <w:t>млення відповідної документації (договорів та ін.),</w:t>
      </w:r>
      <w:r>
        <w:rPr>
          <w:lang w:val="uk-UA"/>
        </w:rPr>
        <w:t xml:space="preserve"> </w:t>
      </w:r>
      <w:r>
        <w:rPr>
          <w:lang w:val="uk-UA"/>
        </w:rPr>
        <w:t>перерахування коштів.</w:t>
      </w:r>
    </w:p>
    <w:p>
      <w:pPr>
        <w:pStyle w:val="Normal"/>
        <w:spacing w:before="0" w:after="120"/>
        <w:jc w:val="both"/>
        <w:rPr>
          <w:lang w:val="uk-UA"/>
        </w:rPr>
      </w:pPr>
      <w:r>
        <w:rPr>
          <w:u w:val="single" w:color="000000"/>
          <w:lang w:val="uk-UA"/>
        </w:rPr>
        <w:t>Етап</w:t>
      </w:r>
      <w:r>
        <w:rPr>
          <w:u w:val="single" w:color="000000"/>
          <w:lang w:val="uk-UA"/>
        </w:rPr>
        <w:t xml:space="preserve"> 4 Реал</w:t>
      </w:r>
      <w:r>
        <w:rPr>
          <w:u w:val="single" w:color="000000"/>
          <w:lang w:val="uk-UA"/>
        </w:rPr>
        <w:t>і</w:t>
      </w:r>
      <w:r>
        <w:rPr>
          <w:u w:val="single" w:color="000000"/>
          <w:lang w:val="uk-UA"/>
        </w:rPr>
        <w:t>зац</w:t>
      </w:r>
      <w:r>
        <w:rPr>
          <w:u w:val="single" w:color="000000"/>
          <w:lang w:val="uk-UA"/>
        </w:rPr>
        <w:t>і</w:t>
      </w:r>
      <w:r>
        <w:rPr>
          <w:u w:val="single" w:color="000000"/>
          <w:lang w:val="uk-UA"/>
        </w:rPr>
        <w:t>я проект</w:t>
      </w:r>
      <w:r>
        <w:rPr>
          <w:u w:val="single" w:color="000000"/>
          <w:lang w:val="uk-UA"/>
        </w:rPr>
        <w:t>і</w:t>
      </w:r>
      <w:r>
        <w:rPr>
          <w:u w:val="single" w:color="000000"/>
          <w:lang w:val="uk-UA"/>
        </w:rPr>
        <w:t>в (</w:t>
      </w:r>
      <w:r>
        <w:rPr>
          <w:u w:val="single" w:color="000000"/>
          <w:lang w:val="uk-UA"/>
        </w:rPr>
        <w:t>липень</w:t>
      </w:r>
      <w:r>
        <w:rPr>
          <w:u w:val="single" w:color="000000"/>
          <w:lang w:val="uk-UA"/>
        </w:rPr>
        <w:t xml:space="preserve"> – </w:t>
      </w:r>
      <w:r>
        <w:rPr>
          <w:u w:val="single" w:color="000000"/>
          <w:lang w:val="uk-UA"/>
        </w:rPr>
        <w:t>листопад</w:t>
      </w:r>
      <w:r>
        <w:rPr>
          <w:u w:val="single" w:color="000000"/>
          <w:lang w:val="uk-UA"/>
        </w:rPr>
        <w:t xml:space="preserve"> 2016):</w:t>
      </w:r>
      <w:r>
        <w:rPr>
          <w:lang w:val="uk-UA"/>
        </w:rPr>
        <w:t xml:space="preserve"> Реал</w:t>
      </w:r>
      <w:r>
        <w:rPr>
          <w:lang w:val="uk-UA"/>
        </w:rPr>
        <w:t>ізація</w:t>
      </w:r>
      <w:r>
        <w:rPr>
          <w:lang w:val="uk-UA"/>
        </w:rPr>
        <w:t xml:space="preserve"> проект</w:t>
      </w:r>
      <w:r>
        <w:rPr>
          <w:lang w:val="uk-UA"/>
        </w:rPr>
        <w:t>і</w:t>
      </w:r>
      <w:r>
        <w:rPr>
          <w:lang w:val="uk-UA"/>
        </w:rPr>
        <w:t xml:space="preserve">в </w:t>
      </w:r>
      <w:r>
        <w:rPr>
          <w:lang w:val="uk-UA"/>
        </w:rPr>
        <w:t>та звітність згідно затверджених заявок.</w:t>
      </w:r>
      <w:r>
        <w:rPr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b/>
          <w:bCs/>
          <w:lang w:val="uk-UA"/>
        </w:rPr>
        <w:t xml:space="preserve">Заявки </w:t>
      </w:r>
      <w:r>
        <w:rPr>
          <w:b/>
          <w:bCs/>
          <w:lang w:val="uk-UA"/>
        </w:rPr>
        <w:t>приймаються електроною поштою до 25 травня 2016:</w:t>
      </w:r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У Північно-Західному федеральному окрузі РФ </w:t>
      </w:r>
      <w:hyperlink r:id="rId3">
        <w:r>
          <w:rPr>
            <w:rStyle w:val="Style14"/>
            <w:lang w:val="uk-UA"/>
          </w:rPr>
          <w:t>humraszr@gmail.com</w:t>
        </w:r>
      </w:hyperlink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У Центральному федеральному окрузі РФ </w:t>
      </w:r>
      <w:hyperlink r:id="rId4">
        <w:r>
          <w:rPr>
            <w:rStyle w:val="Style14"/>
            <w:lang w:val="uk-UA"/>
          </w:rPr>
          <w:t>humracfd@gmail.com</w:t>
        </w:r>
      </w:hyperlink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У Південному і Північно-Кавказькому федеральних округах РФ </w:t>
      </w:r>
      <w:hyperlink r:id="rId5">
        <w:r>
          <w:rPr>
            <w:rStyle w:val="Style14"/>
            <w:lang w:val="uk-UA"/>
          </w:rPr>
          <w:t>tatev.guk@gmail.com</w:t>
        </w:r>
      </w:hyperlink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В Україні </w:t>
      </w:r>
      <w:hyperlink r:id="rId6">
        <w:r>
          <w:rPr>
            <w:rStyle w:val="Style14"/>
            <w:lang w:val="uk-UA"/>
          </w:rPr>
          <w:t>humra.ukraine@gmail.com</w:t>
        </w:r>
      </w:hyperlink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У Білорусі </w:t>
      </w:r>
      <w:hyperlink r:id="rId7">
        <w:r>
          <w:rPr>
            <w:rStyle w:val="Style14"/>
            <w:lang w:val="uk-UA"/>
          </w:rPr>
          <w:t>humra.belarus@gmail.com</w:t>
        </w:r>
      </w:hyperlink>
    </w:p>
    <w:p>
      <w:pPr>
        <w:pStyle w:val="Style17"/>
        <w:spacing w:lineRule="auto" w:line="240" w:before="0" w:after="0"/>
        <w:jc w:val="both"/>
        <w:rPr/>
      </w:pPr>
      <w:r>
        <w:rPr>
          <w:lang w:val="uk-UA"/>
        </w:rPr>
        <w:t xml:space="preserve">У Грузії </w:t>
      </w:r>
      <w:hyperlink r:id="rId8">
        <w:r>
          <w:rPr>
            <w:rStyle w:val="Style14"/>
            <w:lang w:val="uk-UA"/>
          </w:rPr>
          <w:t>humraacicc@gmail.com</w:t>
        </w:r>
      </w:hyperlink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  <w:t>Після визначення переможців журі залишає за собою право профінансувати додаткові успішні заявки.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i/>
          <w:iCs/>
          <w:u w:val="single"/>
          <w:lang w:val="uk-UA"/>
        </w:rPr>
        <w:t>Додаткові положення: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1. Факт виконання дій, встановлених цим Регламентом, є згодою Учасника на використання його персональних даних, зазначених у заявці, Організатором конкурсу або залученими ним особами для виконання зобов'язань з реалізації Конкурсу.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2. Учасники розуміють, що дані, зазначені ними для участі в Конкурсі, будуть оброблятися Організатором і залученими ним особами з використанням і без використання засобів автоматизації, включаючи збір, зберігання, передачу (в тому числі транскордонну) відповідно до чинного законодавства про персональні дані, і дають згоду на таку обробку при згоді з цим Регламентом.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3. Згода на обробку персональних даних, зазначена в цьому розділі, діє протягом усього строку проведення Конкурсу та 5 (п'яти) років після його закінчення.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4. Умови перерахування міні-грантів, надання прав та регулювання взаємовідносин між Переможцем та Організатором обговорюються з переможцем індивідуально при укладенні договору після оголошення результатів.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b/>
          <w:i/>
          <w:lang w:val="uk-UA"/>
        </w:rPr>
        <w:t>Конкурс проводиться в рамках проекту «ХУМРА - історії про права людини».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b/>
          <w:bCs/>
          <w:i/>
          <w:iCs/>
          <w:u w:val="single" w:color="000000"/>
          <w:lang w:val="uk-UA"/>
        </w:rPr>
        <w:t xml:space="preserve">ХУМРА - міжнародний культурно-освітній проект. Його мета - використовуючи анімацію, розповісти молодим людям про права людини, почати діалог на сучасному, живому рівні і зрозумілою для них мовою. В рамках проекту буде створено 12 професійних мультфільмів тривалістю по 4 хвилини. Вони будуть демонструватися на культурних подіях, використовуватися на навчальних семінарах і дискусійних клубах. Також в 2015 році проводиться серія майстер-класів зі створення аматорської анімації на тему прав людини. Реалізація проекту, розпочатого в 2014 році, розрахована на три роки і здійснюється </w:t>
      </w:r>
      <w:r>
        <w:rPr>
          <w:b/>
          <w:bCs/>
          <w:i/>
          <w:iCs/>
          <w:u w:val="single" w:color="000000"/>
          <w:lang w:val="uk-UA"/>
        </w:rPr>
        <w:t>Ґ</w:t>
      </w:r>
      <w:r>
        <w:rPr>
          <w:b/>
          <w:bCs/>
          <w:i/>
          <w:iCs/>
          <w:u w:val="single" w:color="000000"/>
          <w:lang w:val="uk-UA"/>
        </w:rPr>
        <w:t>ете-Інститутом у співпраці з місцевими партнерами в Росії, Німеччині, Грузії та Україні.</w:t>
      </w:r>
    </w:p>
    <w:sectPr>
      <w:headerReference w:type="default" r:id="rId9"/>
      <w:footerReference w:type="default" r:id="rId10"/>
      <w:type w:val="nextPage"/>
      <w:pgSz w:w="11906" w:h="16838"/>
      <w:pgMar w:left="1418" w:right="1418" w:header="1134" w:top="2694" w:footer="709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Newton-Regular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hd w:val="clear" w:color="auto" w:fill="FFFFFF"/>
      <w:tabs>
        <w:tab w:val="center" w:pos="4677" w:leader="none"/>
        <w:tab w:val="right" w:pos="9044" w:leader="none"/>
      </w:tabs>
      <w:spacing w:before="0" w:after="200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PYInitialCap5COPY"/>
      <w:tabs>
        <w:tab w:val="left" w:pos="1295" w:leader="none"/>
      </w:tabs>
      <w:spacing w:lineRule="atLeast" w:line="220"/>
      <w:jc w:val="left"/>
      <w:rPr>
        <w:rFonts w:ascii="Arial" w:hAnsi="Arial" w:eastAsia="Arial" w:cs="Arial"/>
        <w:sz w:val="16"/>
        <w:szCs w:val="16"/>
      </w:rPr>
    </w:pPr>
    <w:r>
      <w:drawing>
        <wp:anchor behindDoc="1" distT="152400" distB="152400" distL="152400" distR="152400" simplePos="0" locked="0" layoutInCell="1" allowOverlap="1" relativeHeight="4">
          <wp:simplePos x="0" y="0"/>
          <wp:positionH relativeFrom="page">
            <wp:posOffset>4860290</wp:posOffset>
          </wp:positionH>
          <wp:positionV relativeFrom="page">
            <wp:posOffset>720090</wp:posOffset>
          </wp:positionV>
          <wp:extent cx="1800225" cy="670560"/>
          <wp:effectExtent l="0" t="0" r="0" b="0"/>
          <wp:wrapNone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152400" distB="152400" distL="152400" distR="152400" simplePos="0" locked="0" layoutInCell="1" allowOverlap="1" relativeHeight="7">
          <wp:simplePos x="0" y="0"/>
          <wp:positionH relativeFrom="page">
            <wp:posOffset>906145</wp:posOffset>
          </wp:positionH>
          <wp:positionV relativeFrom="page">
            <wp:posOffset>10013315</wp:posOffset>
          </wp:positionV>
          <wp:extent cx="5756910" cy="1069340"/>
          <wp:effectExtent l="0" t="0" r="0" b="0"/>
          <wp:wrapNone/>
          <wp:docPr id="2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  <w:lang w:val="uk-UA"/>
      </w:rPr>
      <w:t>1</w:t>
    </w:r>
    <w:r>
      <w:rPr>
        <w:rFonts w:ascii="Arial" w:hAnsi="Arial"/>
        <w:sz w:val="16"/>
        <w:szCs w:val="16"/>
        <w:lang w:val="uk-UA"/>
      </w:rPr>
      <w:t xml:space="preserve">19313 Москва. </w:t>
    </w:r>
  </w:p>
  <w:p>
    <w:pPr>
      <w:pStyle w:val="Style21"/>
      <w:tabs>
        <w:tab w:val="center" w:pos="4677" w:leader="none"/>
        <w:tab w:val="right" w:pos="9044" w:leader="none"/>
      </w:tabs>
      <w:spacing w:lineRule="atLeast" w:line="220"/>
      <w:rPr>
        <w:rFonts w:ascii="Arial" w:hAnsi="Arial" w:eastAsia="Arial" w:cs="Arial"/>
        <w:sz w:val="16"/>
        <w:szCs w:val="16"/>
      </w:rPr>
    </w:pPr>
    <w:r>
      <w:rPr>
        <w:rFonts w:ascii="Arial" w:hAnsi="Arial"/>
        <w:sz w:val="16"/>
        <w:szCs w:val="16"/>
        <w:lang w:val="uk-UA"/>
      </w:rPr>
      <w:t>Ленинский проспект, 95а.</w:t>
    </w:r>
  </w:p>
  <w:p>
    <w:pPr>
      <w:pStyle w:val="Style21"/>
      <w:tabs>
        <w:tab w:val="center" w:pos="4677" w:leader="none"/>
        <w:tab w:val="right" w:pos="9044" w:leader="none"/>
      </w:tabs>
      <w:spacing w:lineRule="atLeast" w:line="220"/>
      <w:rPr>
        <w:rFonts w:ascii="Arial" w:hAnsi="Arial" w:eastAsia="Arial" w:cs="Arial"/>
        <w:sz w:val="16"/>
        <w:szCs w:val="16"/>
      </w:rPr>
    </w:pPr>
    <w:r>
      <w:rPr>
        <w:rFonts w:ascii="Arial" w:hAnsi="Arial"/>
        <w:sz w:val="16"/>
        <w:szCs w:val="16"/>
        <w:lang w:val="uk-UA"/>
      </w:rPr>
      <w:t xml:space="preserve">humra@goethe.moskau.org. </w:t>
    </w:r>
  </w:p>
  <w:p>
    <w:pPr>
      <w:pStyle w:val="Style21"/>
      <w:tabs>
        <w:tab w:val="center" w:pos="4677" w:leader="none"/>
        <w:tab w:val="right" w:pos="9044" w:leader="none"/>
      </w:tabs>
      <w:spacing w:lineRule="atLeast" w:line="220"/>
      <w:rPr>
        <w:rFonts w:ascii="Arial" w:hAnsi="Arial" w:eastAsia="Arial" w:cs="Arial"/>
        <w:sz w:val="16"/>
        <w:szCs w:val="16"/>
      </w:rPr>
    </w:pPr>
    <w:r>
      <w:rPr>
        <w:rFonts w:ascii="Arial" w:hAnsi="Arial"/>
        <w:sz w:val="16"/>
        <w:szCs w:val="16"/>
        <w:lang w:val="uk-UA"/>
      </w:rPr>
      <w:t xml:space="preserve">Тел.: +7 495 936 24-57, -58, -59, -60, -61. </w:t>
    </w:r>
  </w:p>
  <w:p>
    <w:pPr>
      <w:pStyle w:val="Style21"/>
      <w:tabs>
        <w:tab w:val="center" w:pos="4677" w:leader="none"/>
        <w:tab w:val="right" w:pos="9044" w:leader="none"/>
      </w:tabs>
      <w:spacing w:lineRule="atLeast" w:line="220" w:before="0" w:after="200"/>
      <w:rPr>
        <w:lang w:val="uk-UA"/>
      </w:rPr>
    </w:pPr>
    <w:r>
      <w:rPr>
        <w:rFonts w:ascii="Arial" w:hAnsi="Arial"/>
        <w:sz w:val="16"/>
        <w:szCs w:val="16"/>
        <w:lang w:val="uk-UA"/>
      </w:rPr>
      <w:t>Факс: +7 495 936 22 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Link" w:customStyle="1">
    <w:name w:val="Link"/>
    <w:qFormat/>
    <w:rPr>
      <w:color w:val="0000FF"/>
      <w:u w:val="single" w:color="0000FF"/>
    </w:rPr>
  </w:style>
  <w:style w:type="character" w:styleId="Hyperlink0" w:customStyle="1">
    <w:name w:val="Hyperlink.0"/>
    <w:basedOn w:val="Link"/>
    <w:qFormat/>
    <w:rPr>
      <w:color w:val="0000FF"/>
      <w:u w:val="single" w:color="0000FF"/>
    </w:rPr>
  </w:style>
  <w:style w:type="character" w:styleId="Hyperlink1" w:customStyle="1">
    <w:name w:val="Hyperlink.1"/>
    <w:basedOn w:val="Link"/>
    <w:qFormat/>
    <w:rPr>
      <w:color w:val="0000FF"/>
      <w:u w:val="single" w:color="0000FF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e196c"/>
    <w:rPr>
      <w:rFonts w:ascii="Segoe UI" w:hAnsi="Segoe UI" w:eastAsia="Calibri" w:cs="Segoe UI"/>
      <w:color w:val="000000"/>
      <w:sz w:val="18"/>
      <w:szCs w:val="18"/>
      <w:u w:val="none" w:color="000000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hd w:fill="0165BE" w:val="clear"/>
      <w:vertAlign w:val="baselin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PYInitialCap5COPY" w:customStyle="1">
    <w:name w:val="-COPY_Initial_Cap_5 (COPY)"/>
    <w:qFormat/>
    <w:pPr>
      <w:widowControl/>
      <w:pBdr/>
      <w:tabs>
        <w:tab w:val="left" w:pos="312" w:leader="none"/>
      </w:tabs>
      <w:suppressAutoHyphens w:val="true"/>
      <w:bidi w:val="0"/>
      <w:spacing w:lineRule="atLeast" w:line="230"/>
      <w:jc w:val="both"/>
    </w:pPr>
    <w:rPr>
      <w:rFonts w:ascii="Newton-Regular" w:hAnsi="Newton-Regular" w:eastAsia="Newton-Regular" w:cs="Newton-Regular"/>
      <w:color w:val="000000"/>
      <w:sz w:val="18"/>
      <w:szCs w:val="18"/>
      <w:u w:val="none" w:color="000000"/>
      <w:lang w:val="uk-UA" w:eastAsia="ru-RU" w:bidi="ar-SA"/>
    </w:rPr>
  </w:style>
  <w:style w:type="paragraph" w:styleId="Style21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bidi w:val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</w:rPr>
  </w:style>
  <w:style w:type="paragraph" w:styleId="Style22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bidi w:val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</w:rPr>
  </w:style>
  <w:style w:type="paragraph" w:styleId="ListParagraph">
    <w:name w:val="List Paragraph"/>
    <w:qFormat/>
    <w:pPr>
      <w:widowControl/>
      <w:pBdr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uk-UA" w:eastAsia="ru-RU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e1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ImportedStyle1" w:customStyle="1">
    <w:name w:val="Imported Style 1"/>
  </w:style>
  <w:style w:type="numbering" w:styleId="ImportedStyle2" w:customStyle="1">
    <w:name w:val="Imported Style 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mra.org/" TargetMode="External"/><Relationship Id="rId3" Type="http://schemas.openxmlformats.org/officeDocument/2006/relationships/hyperlink" Target="mailto:humraszr@gmail.com" TargetMode="External"/><Relationship Id="rId4" Type="http://schemas.openxmlformats.org/officeDocument/2006/relationships/hyperlink" Target="mailto:humracfd@gmail.com" TargetMode="External"/><Relationship Id="rId5" Type="http://schemas.openxmlformats.org/officeDocument/2006/relationships/hyperlink" Target="mailto:tatev.guk@gmail.com" TargetMode="External"/><Relationship Id="rId6" Type="http://schemas.openxmlformats.org/officeDocument/2006/relationships/hyperlink" Target="mailto:humra.ukraine@gmail.com" TargetMode="External"/><Relationship Id="rId7" Type="http://schemas.openxmlformats.org/officeDocument/2006/relationships/hyperlink" Target="mailto:humra.belarus@gmail.com" TargetMode="External"/><Relationship Id="rId8" Type="http://schemas.openxmlformats.org/officeDocument/2006/relationships/hyperlink" Target="mailto:humraacicc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LibreOffice/4.4.0.3$Windows_x86 LibreOffice_project/de093506bcdc5fafd9023ee680b8c60e3e0645d7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2016-03-21T12:28:00Z</dcterms:created>
  <dc:creator>Beljajewa, Marina</dc:creator>
  <dc:language>ru-RU</dc:language>
  <dcterms:modified xsi:type="dcterms:W3CDTF">2016-03-25T17:19:23Z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